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1CAF9" w14:textId="77777777" w:rsidR="002444C8" w:rsidRPr="002444C8" w:rsidRDefault="00CF2580" w:rsidP="002444C8">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Griswold v Connecticut</w:t>
      </w:r>
      <w:r w:rsidR="002C3816">
        <w:rPr>
          <w:rFonts w:ascii="Times New Roman" w:hAnsi="Times New Roman" w:cs="Times New Roman"/>
          <w:b/>
          <w:sz w:val="28"/>
          <w:szCs w:val="28"/>
        </w:rPr>
        <w:t xml:space="preserve"> </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44E472AC" w14:textId="77777777" w:rsidR="00ED1B6F" w:rsidRDefault="00CF2580"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Excerpted from the </w:t>
      </w:r>
      <w:r w:rsidRPr="00D11D11">
        <w:rPr>
          <w:rFonts w:ascii="Times New Roman" w:hAnsi="Times New Roman" w:cs="Times New Roman"/>
          <w:b/>
          <w:sz w:val="24"/>
          <w:szCs w:val="24"/>
        </w:rPr>
        <w:t>Opinion</w:t>
      </w:r>
      <w:r>
        <w:rPr>
          <w:rFonts w:ascii="Times New Roman" w:hAnsi="Times New Roman" w:cs="Times New Roman"/>
          <w:sz w:val="24"/>
          <w:szCs w:val="24"/>
        </w:rPr>
        <w:t xml:space="preserve"> Authored by Justice Douglas</w:t>
      </w:r>
    </w:p>
    <w:p w14:paraId="0B0FFD84" w14:textId="77777777" w:rsidR="00ED1B6F" w:rsidRDefault="007E29A6" w:rsidP="00D14A23">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713EC13A" wp14:editId="0F87CB81">
                <wp:simplePos x="0" y="0"/>
                <wp:positionH relativeFrom="column">
                  <wp:posOffset>5257800</wp:posOffset>
                </wp:positionH>
                <wp:positionV relativeFrom="paragraph">
                  <wp:posOffset>273050</wp:posOffset>
                </wp:positionV>
                <wp:extent cx="1257300" cy="7988300"/>
                <wp:effectExtent l="0" t="0" r="38100" b="38100"/>
                <wp:wrapTight wrapText="bothSides">
                  <wp:wrapPolygon edited="0">
                    <wp:start x="0" y="0"/>
                    <wp:lineTo x="0" y="21634"/>
                    <wp:lineTo x="21818" y="21634"/>
                    <wp:lineTo x="2181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988300"/>
                        </a:xfrm>
                        <a:prstGeom prst="rect">
                          <a:avLst/>
                        </a:prstGeom>
                        <a:solidFill>
                          <a:srgbClr val="FFFFFF"/>
                        </a:solidFill>
                        <a:ln w="9525">
                          <a:solidFill>
                            <a:srgbClr val="000000"/>
                          </a:solidFill>
                          <a:miter lim="800000"/>
                          <a:headEnd/>
                          <a:tailEnd/>
                        </a:ln>
                      </wps:spPr>
                      <wps:txbx>
                        <w:txbxContent>
                          <w:p w14:paraId="745BFB80"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person</w:t>
                            </w:r>
                            <w:proofErr w:type="gramEnd"/>
                            <w:r>
                              <w:rPr>
                                <w:rFonts w:ascii="Times New Roman" w:hAnsi="Times New Roman" w:cs="Times New Roman"/>
                                <w:sz w:val="23"/>
                                <w:szCs w:val="23"/>
                              </w:rPr>
                              <w:t xml:space="preserve"> bringing case</w:t>
                            </w:r>
                          </w:p>
                          <w:p w14:paraId="07CC4D72" w14:textId="77777777" w:rsidR="002D63DE" w:rsidRDefault="002D63DE" w:rsidP="002C10F7">
                            <w:pPr>
                              <w:spacing w:line="240" w:lineRule="auto"/>
                              <w:contextualSpacing/>
                              <w:rPr>
                                <w:rFonts w:ascii="Times New Roman" w:hAnsi="Times New Roman" w:cs="Times New Roman"/>
                                <w:sz w:val="23"/>
                                <w:szCs w:val="23"/>
                              </w:rPr>
                            </w:pPr>
                          </w:p>
                          <w:p w14:paraId="43C3D047" w14:textId="77777777" w:rsidR="002D63DE" w:rsidRDefault="002D63DE" w:rsidP="002C10F7">
                            <w:pPr>
                              <w:spacing w:line="240" w:lineRule="auto"/>
                              <w:contextualSpacing/>
                              <w:rPr>
                                <w:rFonts w:ascii="Times New Roman" w:hAnsi="Times New Roman" w:cs="Times New Roman"/>
                                <w:sz w:val="23"/>
                                <w:szCs w:val="23"/>
                              </w:rPr>
                            </w:pPr>
                          </w:p>
                          <w:p w14:paraId="4A1A00AB" w14:textId="77777777" w:rsidR="002D63DE" w:rsidRDefault="002D63DE" w:rsidP="002C10F7">
                            <w:pPr>
                              <w:spacing w:line="240" w:lineRule="auto"/>
                              <w:contextualSpacing/>
                              <w:rPr>
                                <w:rFonts w:ascii="Times New Roman" w:hAnsi="Times New Roman" w:cs="Times New Roman"/>
                                <w:sz w:val="23"/>
                                <w:szCs w:val="23"/>
                              </w:rPr>
                            </w:pPr>
                          </w:p>
                          <w:p w14:paraId="629887E5" w14:textId="77777777" w:rsidR="002D63DE" w:rsidRDefault="002D63DE" w:rsidP="002C10F7">
                            <w:pPr>
                              <w:spacing w:line="240" w:lineRule="auto"/>
                              <w:contextualSpacing/>
                              <w:rPr>
                                <w:rFonts w:ascii="Times New Roman" w:hAnsi="Times New Roman" w:cs="Times New Roman"/>
                                <w:sz w:val="23"/>
                                <w:szCs w:val="23"/>
                              </w:rPr>
                            </w:pPr>
                          </w:p>
                          <w:p w14:paraId="10A24BFD" w14:textId="77777777" w:rsidR="002D63DE" w:rsidRDefault="002D63DE" w:rsidP="002C10F7">
                            <w:pPr>
                              <w:spacing w:line="240" w:lineRule="auto"/>
                              <w:contextualSpacing/>
                              <w:rPr>
                                <w:rFonts w:ascii="Times New Roman" w:hAnsi="Times New Roman" w:cs="Times New Roman"/>
                                <w:sz w:val="23"/>
                                <w:szCs w:val="23"/>
                              </w:rPr>
                            </w:pPr>
                          </w:p>
                          <w:p w14:paraId="3D49DCB0" w14:textId="77777777" w:rsidR="002D63DE" w:rsidRDefault="002D63DE" w:rsidP="002C10F7">
                            <w:pPr>
                              <w:spacing w:line="240" w:lineRule="auto"/>
                              <w:contextualSpacing/>
                              <w:rPr>
                                <w:rFonts w:ascii="Times New Roman" w:hAnsi="Times New Roman" w:cs="Times New Roman"/>
                                <w:sz w:val="23"/>
                                <w:szCs w:val="23"/>
                              </w:rPr>
                            </w:pPr>
                          </w:p>
                          <w:p w14:paraId="55A4131E" w14:textId="77777777" w:rsidR="002D63DE" w:rsidRDefault="002D63DE" w:rsidP="002C10F7">
                            <w:pPr>
                              <w:spacing w:line="240" w:lineRule="auto"/>
                              <w:contextualSpacing/>
                              <w:rPr>
                                <w:rFonts w:ascii="Times New Roman" w:hAnsi="Times New Roman" w:cs="Times New Roman"/>
                                <w:sz w:val="23"/>
                                <w:szCs w:val="23"/>
                              </w:rPr>
                            </w:pPr>
                          </w:p>
                          <w:p w14:paraId="127E552C" w14:textId="77777777" w:rsidR="002D63DE" w:rsidRDefault="002D63DE" w:rsidP="002C10F7">
                            <w:pPr>
                              <w:spacing w:line="240" w:lineRule="auto"/>
                              <w:contextualSpacing/>
                              <w:rPr>
                                <w:rFonts w:ascii="Times New Roman" w:hAnsi="Times New Roman" w:cs="Times New Roman"/>
                                <w:sz w:val="23"/>
                                <w:szCs w:val="23"/>
                              </w:rPr>
                            </w:pPr>
                          </w:p>
                          <w:p w14:paraId="13962259"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interpreted</w:t>
                            </w:r>
                            <w:proofErr w:type="gramEnd"/>
                            <w:r>
                              <w:rPr>
                                <w:rFonts w:ascii="Times New Roman" w:hAnsi="Times New Roman" w:cs="Times New Roman"/>
                                <w:sz w:val="23"/>
                                <w:szCs w:val="23"/>
                              </w:rPr>
                              <w:t xml:space="preserve"> </w:t>
                            </w:r>
                          </w:p>
                          <w:p w14:paraId="01B06E01" w14:textId="77777777" w:rsidR="002D63DE" w:rsidRDefault="002D63DE" w:rsidP="002C10F7">
                            <w:pPr>
                              <w:spacing w:line="240" w:lineRule="auto"/>
                              <w:contextualSpacing/>
                              <w:rPr>
                                <w:rFonts w:ascii="Times New Roman" w:hAnsi="Times New Roman" w:cs="Times New Roman"/>
                                <w:sz w:val="23"/>
                                <w:szCs w:val="23"/>
                              </w:rPr>
                            </w:pPr>
                          </w:p>
                          <w:p w14:paraId="6878BC48" w14:textId="77777777" w:rsidR="002D63DE" w:rsidRDefault="002D63DE" w:rsidP="002C10F7">
                            <w:pPr>
                              <w:spacing w:line="240" w:lineRule="auto"/>
                              <w:contextualSpacing/>
                              <w:rPr>
                                <w:rFonts w:ascii="Times New Roman" w:hAnsi="Times New Roman" w:cs="Times New Roman"/>
                                <w:sz w:val="23"/>
                                <w:szCs w:val="23"/>
                              </w:rPr>
                            </w:pPr>
                          </w:p>
                          <w:p w14:paraId="7ADBFE88" w14:textId="77777777" w:rsidR="002D63DE" w:rsidRDefault="002D63DE" w:rsidP="002C10F7">
                            <w:pPr>
                              <w:spacing w:line="240" w:lineRule="auto"/>
                              <w:contextualSpacing/>
                              <w:rPr>
                                <w:rFonts w:ascii="Times New Roman" w:hAnsi="Times New Roman" w:cs="Times New Roman"/>
                                <w:sz w:val="23"/>
                                <w:szCs w:val="23"/>
                              </w:rPr>
                            </w:pPr>
                          </w:p>
                          <w:p w14:paraId="64C09938" w14:textId="77777777" w:rsidR="002D63DE" w:rsidRDefault="002D63DE" w:rsidP="002C10F7">
                            <w:pPr>
                              <w:spacing w:line="240" w:lineRule="auto"/>
                              <w:contextualSpacing/>
                              <w:rPr>
                                <w:rFonts w:ascii="Times New Roman" w:hAnsi="Times New Roman" w:cs="Times New Roman"/>
                                <w:sz w:val="23"/>
                                <w:szCs w:val="23"/>
                              </w:rPr>
                            </w:pPr>
                          </w:p>
                          <w:p w14:paraId="4BC2F640"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related</w:t>
                            </w:r>
                            <w:proofErr w:type="gramEnd"/>
                            <w:r>
                              <w:rPr>
                                <w:rFonts w:ascii="Times New Roman" w:hAnsi="Times New Roman" w:cs="Times New Roman"/>
                                <w:sz w:val="23"/>
                                <w:szCs w:val="23"/>
                              </w:rPr>
                              <w:t xml:space="preserve">   </w:t>
                            </w:r>
                          </w:p>
                          <w:p w14:paraId="116DC73A" w14:textId="77777777" w:rsidR="002D63DE" w:rsidRDefault="002D63DE" w:rsidP="002C10F7">
                            <w:pPr>
                              <w:spacing w:line="240" w:lineRule="auto"/>
                              <w:contextualSpacing/>
                              <w:rPr>
                                <w:rFonts w:ascii="Times New Roman" w:hAnsi="Times New Roman" w:cs="Times New Roman"/>
                                <w:sz w:val="23"/>
                                <w:szCs w:val="23"/>
                              </w:rPr>
                            </w:pPr>
                          </w:p>
                          <w:p w14:paraId="3B80A49B" w14:textId="77777777" w:rsidR="002D63DE" w:rsidRDefault="002D63DE" w:rsidP="002C10F7">
                            <w:pPr>
                              <w:spacing w:line="240" w:lineRule="auto"/>
                              <w:contextualSpacing/>
                              <w:rPr>
                                <w:rFonts w:ascii="Times New Roman" w:hAnsi="Times New Roman" w:cs="Times New Roman"/>
                                <w:sz w:val="23"/>
                                <w:szCs w:val="23"/>
                              </w:rPr>
                            </w:pPr>
                          </w:p>
                          <w:p w14:paraId="5137B269" w14:textId="77777777" w:rsidR="002D63DE" w:rsidRDefault="002D63DE" w:rsidP="002C10F7">
                            <w:pPr>
                              <w:spacing w:line="240" w:lineRule="auto"/>
                              <w:contextualSpacing/>
                              <w:rPr>
                                <w:rFonts w:ascii="Times New Roman" w:hAnsi="Times New Roman" w:cs="Times New Roman"/>
                                <w:sz w:val="23"/>
                                <w:szCs w:val="23"/>
                              </w:rPr>
                            </w:pPr>
                          </w:p>
                          <w:p w14:paraId="60C459C2" w14:textId="77777777" w:rsidR="002D63DE" w:rsidRDefault="002D63DE" w:rsidP="002C10F7">
                            <w:pPr>
                              <w:spacing w:line="240" w:lineRule="auto"/>
                              <w:contextualSpacing/>
                              <w:rPr>
                                <w:rFonts w:ascii="Times New Roman" w:hAnsi="Times New Roman" w:cs="Times New Roman"/>
                                <w:sz w:val="23"/>
                                <w:szCs w:val="23"/>
                              </w:rPr>
                            </w:pPr>
                          </w:p>
                          <w:p w14:paraId="67B44BBB"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gray</w:t>
                            </w:r>
                            <w:proofErr w:type="gramEnd"/>
                            <w:r>
                              <w:rPr>
                                <w:rFonts w:ascii="Times New Roman" w:hAnsi="Times New Roman" w:cs="Times New Roman"/>
                                <w:sz w:val="23"/>
                                <w:szCs w:val="23"/>
                              </w:rPr>
                              <w:t xml:space="preserve"> area</w:t>
                            </w:r>
                          </w:p>
                          <w:p w14:paraId="0ACA2020" w14:textId="77777777" w:rsidR="002D63DE" w:rsidRDefault="002D63DE" w:rsidP="002C10F7">
                            <w:pPr>
                              <w:spacing w:line="240" w:lineRule="auto"/>
                              <w:contextualSpacing/>
                              <w:rPr>
                                <w:rFonts w:ascii="Times New Roman" w:hAnsi="Times New Roman" w:cs="Times New Roman"/>
                                <w:sz w:val="23"/>
                                <w:szCs w:val="23"/>
                              </w:rPr>
                            </w:pPr>
                          </w:p>
                          <w:p w14:paraId="073F2147" w14:textId="77777777" w:rsidR="002D63DE" w:rsidRDefault="002D63DE" w:rsidP="002C10F7">
                            <w:pPr>
                              <w:spacing w:line="240" w:lineRule="auto"/>
                              <w:contextualSpacing/>
                              <w:rPr>
                                <w:rFonts w:ascii="Times New Roman" w:hAnsi="Times New Roman" w:cs="Times New Roman"/>
                                <w:sz w:val="23"/>
                                <w:szCs w:val="23"/>
                              </w:rPr>
                            </w:pPr>
                          </w:p>
                          <w:p w14:paraId="1BEC565F" w14:textId="77777777" w:rsidR="002D63DE" w:rsidRDefault="002D63DE" w:rsidP="002C10F7">
                            <w:pPr>
                              <w:spacing w:line="240" w:lineRule="auto"/>
                              <w:contextualSpacing/>
                              <w:rPr>
                                <w:rFonts w:ascii="Times New Roman" w:hAnsi="Times New Roman" w:cs="Times New Roman"/>
                                <w:sz w:val="23"/>
                                <w:szCs w:val="23"/>
                              </w:rPr>
                            </w:pPr>
                          </w:p>
                          <w:p w14:paraId="54BA291E" w14:textId="77777777" w:rsidR="002D63DE" w:rsidRDefault="002D63DE" w:rsidP="002C10F7">
                            <w:pPr>
                              <w:spacing w:line="240" w:lineRule="auto"/>
                              <w:contextualSpacing/>
                              <w:rPr>
                                <w:rFonts w:ascii="Times New Roman" w:hAnsi="Times New Roman" w:cs="Times New Roman"/>
                                <w:sz w:val="23"/>
                                <w:szCs w:val="23"/>
                              </w:rPr>
                            </w:pPr>
                          </w:p>
                          <w:p w14:paraId="04C83CFE" w14:textId="77777777" w:rsidR="002D63DE" w:rsidRDefault="002D63DE" w:rsidP="002C10F7">
                            <w:pPr>
                              <w:spacing w:line="240" w:lineRule="auto"/>
                              <w:contextualSpacing/>
                              <w:rPr>
                                <w:rFonts w:ascii="Times New Roman" w:hAnsi="Times New Roman" w:cs="Times New Roman"/>
                                <w:sz w:val="23"/>
                                <w:szCs w:val="23"/>
                              </w:rPr>
                            </w:pPr>
                          </w:p>
                          <w:p w14:paraId="10D88EA1" w14:textId="77777777" w:rsidR="002D63DE" w:rsidRDefault="002D63DE" w:rsidP="002C10F7">
                            <w:pPr>
                              <w:spacing w:line="240" w:lineRule="auto"/>
                              <w:contextualSpacing/>
                              <w:rPr>
                                <w:rFonts w:ascii="Times New Roman" w:hAnsi="Times New Roman" w:cs="Times New Roman"/>
                                <w:sz w:val="23"/>
                                <w:szCs w:val="23"/>
                              </w:rPr>
                            </w:pPr>
                          </w:p>
                          <w:p w14:paraId="5EE46C5C" w14:textId="77777777" w:rsidR="002D63DE" w:rsidRDefault="002D63DE" w:rsidP="002C10F7">
                            <w:pPr>
                              <w:spacing w:line="240" w:lineRule="auto"/>
                              <w:contextualSpacing/>
                              <w:rPr>
                                <w:rFonts w:ascii="Times New Roman" w:hAnsi="Times New Roman" w:cs="Times New Roman"/>
                                <w:sz w:val="23"/>
                                <w:szCs w:val="23"/>
                              </w:rPr>
                            </w:pPr>
                          </w:p>
                          <w:p w14:paraId="7C1DF643" w14:textId="77777777" w:rsidR="002D63DE" w:rsidRPr="008B624D" w:rsidRDefault="002D63DE" w:rsidP="002C10F7">
                            <w:pPr>
                              <w:spacing w:line="240" w:lineRule="auto"/>
                              <w:contextualSpacing/>
                              <w:rPr>
                                <w:rFonts w:ascii="Times New Roman" w:hAnsi="Times New Roman" w:cs="Times New Roman"/>
                                <w:sz w:val="36"/>
                                <w:szCs w:val="23"/>
                              </w:rPr>
                            </w:pPr>
                          </w:p>
                          <w:p w14:paraId="247D5750" w14:textId="77777777" w:rsidR="002D63DE" w:rsidRDefault="002D63DE" w:rsidP="002C10F7">
                            <w:pPr>
                              <w:spacing w:line="240" w:lineRule="auto"/>
                              <w:contextualSpacing/>
                              <w:rPr>
                                <w:rFonts w:ascii="Times New Roman" w:hAnsi="Times New Roman" w:cs="Times New Roman"/>
                                <w:sz w:val="23"/>
                                <w:szCs w:val="23"/>
                              </w:rPr>
                            </w:pPr>
                          </w:p>
                          <w:p w14:paraId="778B4BFC"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emitting</w:t>
                            </w:r>
                            <w:proofErr w:type="gramEnd"/>
                            <w:r>
                              <w:rPr>
                                <w:rFonts w:ascii="Times New Roman" w:hAnsi="Times New Roman" w:cs="Times New Roman"/>
                                <w:sz w:val="23"/>
                                <w:szCs w:val="23"/>
                              </w:rPr>
                              <w:t>, radiating</w:t>
                            </w:r>
                          </w:p>
                          <w:p w14:paraId="35EEFE08" w14:textId="77777777" w:rsidR="002D63DE" w:rsidRDefault="002D63DE" w:rsidP="002C10F7">
                            <w:pPr>
                              <w:spacing w:line="240" w:lineRule="auto"/>
                              <w:contextualSpacing/>
                              <w:rPr>
                                <w:rFonts w:ascii="Times New Roman" w:hAnsi="Times New Roman" w:cs="Times New Roman"/>
                                <w:sz w:val="23"/>
                                <w:szCs w:val="23"/>
                              </w:rPr>
                            </w:pPr>
                          </w:p>
                          <w:p w14:paraId="2C943992" w14:textId="77777777" w:rsidR="002D63DE" w:rsidRDefault="002D63DE" w:rsidP="002C10F7">
                            <w:pPr>
                              <w:spacing w:line="240" w:lineRule="auto"/>
                              <w:contextualSpacing/>
                              <w:rPr>
                                <w:rFonts w:ascii="Times New Roman" w:hAnsi="Times New Roman" w:cs="Times New Roman"/>
                                <w:sz w:val="23"/>
                                <w:szCs w:val="23"/>
                              </w:rPr>
                            </w:pPr>
                          </w:p>
                          <w:p w14:paraId="4D716683" w14:textId="77777777" w:rsidR="002D63DE" w:rsidRDefault="002D63DE" w:rsidP="002C10F7">
                            <w:pPr>
                              <w:spacing w:line="240" w:lineRule="auto"/>
                              <w:contextualSpacing/>
                              <w:rPr>
                                <w:rFonts w:ascii="Times New Roman" w:hAnsi="Times New Roman" w:cs="Times New Roman"/>
                                <w:sz w:val="23"/>
                                <w:szCs w:val="23"/>
                              </w:rPr>
                            </w:pPr>
                          </w:p>
                          <w:p w14:paraId="12768C94" w14:textId="77777777" w:rsidR="002D63DE" w:rsidRDefault="002D63DE" w:rsidP="002C10F7">
                            <w:pPr>
                              <w:spacing w:line="240" w:lineRule="auto"/>
                              <w:contextualSpacing/>
                              <w:rPr>
                                <w:rFonts w:ascii="Times New Roman" w:hAnsi="Times New Roman" w:cs="Times New Roman"/>
                                <w:sz w:val="23"/>
                                <w:szCs w:val="23"/>
                              </w:rPr>
                            </w:pPr>
                          </w:p>
                          <w:p w14:paraId="68FBCD33" w14:textId="77777777" w:rsidR="002D63DE" w:rsidRDefault="002D63DE" w:rsidP="002C10F7">
                            <w:pPr>
                              <w:spacing w:line="240" w:lineRule="auto"/>
                              <w:contextualSpacing/>
                              <w:rPr>
                                <w:rFonts w:ascii="Times New Roman" w:hAnsi="Times New Roman" w:cs="Times New Roman"/>
                                <w:sz w:val="23"/>
                                <w:szCs w:val="23"/>
                              </w:rPr>
                            </w:pPr>
                          </w:p>
                          <w:p w14:paraId="1EFC09A7" w14:textId="77777777" w:rsidR="002D63DE" w:rsidRDefault="002D63DE" w:rsidP="002C10F7">
                            <w:pPr>
                              <w:spacing w:line="240" w:lineRule="auto"/>
                              <w:contextualSpacing/>
                              <w:rPr>
                                <w:rFonts w:ascii="Times New Roman" w:hAnsi="Times New Roman" w:cs="Times New Roman"/>
                                <w:sz w:val="23"/>
                                <w:szCs w:val="23"/>
                              </w:rPr>
                            </w:pPr>
                          </w:p>
                          <w:p w14:paraId="460B0344" w14:textId="77777777" w:rsidR="002D63DE" w:rsidRDefault="002D63DE" w:rsidP="002C10F7">
                            <w:pPr>
                              <w:spacing w:line="240" w:lineRule="auto"/>
                              <w:contextualSpacing/>
                              <w:rPr>
                                <w:rFonts w:ascii="Times New Roman" w:hAnsi="Times New Roman" w:cs="Times New Roman"/>
                                <w:sz w:val="23"/>
                                <w:szCs w:val="23"/>
                              </w:rPr>
                            </w:pPr>
                          </w:p>
                          <w:p w14:paraId="2F891900" w14:textId="77777777"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listing</w:t>
                            </w:r>
                            <w:proofErr w:type="gramEnd"/>
                          </w:p>
                          <w:p w14:paraId="3990F1E9" w14:textId="77777777" w:rsidR="002D63DE" w:rsidRPr="002B5A1D" w:rsidRDefault="002D63DE" w:rsidP="002C10F7">
                            <w:pPr>
                              <w:spacing w:line="240" w:lineRule="auto"/>
                              <w:contextualSpacing/>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414pt;margin-top:21.5pt;width:99pt;height:6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">
                <v:textbox>
                  <w:txbxContent>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person</w:t>
                      </w:r>
                      <w:proofErr w:type="gramEnd"/>
                      <w:r>
                        <w:rPr>
                          <w:rFonts w:ascii="Times New Roman" w:hAnsi="Times New Roman" w:cs="Times New Roman"/>
                          <w:sz w:val="23"/>
                          <w:szCs w:val="23"/>
                        </w:rPr>
                        <w:t xml:space="preserve"> bringing case</w:t>
                      </w: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interpreted</w:t>
                      </w:r>
                      <w:proofErr w:type="gramEnd"/>
                      <w:r>
                        <w:rPr>
                          <w:rFonts w:ascii="Times New Roman" w:hAnsi="Times New Roman" w:cs="Times New Roman"/>
                          <w:sz w:val="23"/>
                          <w:szCs w:val="23"/>
                        </w:rPr>
                        <w:t xml:space="preserve"> </w:t>
                      </w: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related</w:t>
                      </w:r>
                      <w:proofErr w:type="gramEnd"/>
                      <w:r>
                        <w:rPr>
                          <w:rFonts w:ascii="Times New Roman" w:hAnsi="Times New Roman" w:cs="Times New Roman"/>
                          <w:sz w:val="23"/>
                          <w:szCs w:val="23"/>
                        </w:rPr>
                        <w:t xml:space="preserve">   </w:t>
                      </w: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gray</w:t>
                      </w:r>
                      <w:proofErr w:type="gramEnd"/>
                      <w:r>
                        <w:rPr>
                          <w:rFonts w:ascii="Times New Roman" w:hAnsi="Times New Roman" w:cs="Times New Roman"/>
                          <w:sz w:val="23"/>
                          <w:szCs w:val="23"/>
                        </w:rPr>
                        <w:t xml:space="preserve"> area</w:t>
                      </w: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Pr="008B624D" w:rsidRDefault="002D63DE" w:rsidP="002C10F7">
                      <w:pPr>
                        <w:spacing w:line="240" w:lineRule="auto"/>
                        <w:contextualSpacing/>
                        <w:rPr>
                          <w:rFonts w:ascii="Times New Roman" w:hAnsi="Times New Roman" w:cs="Times New Roman"/>
                          <w:sz w:val="36"/>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emitting</w:t>
                      </w:r>
                      <w:proofErr w:type="gramEnd"/>
                      <w:r>
                        <w:rPr>
                          <w:rFonts w:ascii="Times New Roman" w:hAnsi="Times New Roman" w:cs="Times New Roman"/>
                          <w:sz w:val="23"/>
                          <w:szCs w:val="23"/>
                        </w:rPr>
                        <w:t>, radiating</w:t>
                      </w: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
                    <w:p w:rsidR="002D63DE" w:rsidRDefault="002D63DE" w:rsidP="002C10F7">
                      <w:pPr>
                        <w:spacing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listing</w:t>
                      </w:r>
                      <w:proofErr w:type="gramEnd"/>
                    </w:p>
                    <w:p w:rsidR="002D63DE" w:rsidRPr="002B5A1D" w:rsidRDefault="002D63DE" w:rsidP="002C10F7">
                      <w:pPr>
                        <w:spacing w:line="240" w:lineRule="auto"/>
                        <w:contextualSpacing/>
                        <w:rPr>
                          <w:rFonts w:ascii="Times New Roman" w:hAnsi="Times New Roman" w:cs="Times New Roman"/>
                          <w:sz w:val="23"/>
                          <w:szCs w:val="23"/>
                        </w:rPr>
                      </w:pPr>
                    </w:p>
                  </w:txbxContent>
                </v:textbox>
                <w10:wrap type="tight"/>
              </v:shape>
            </w:pict>
          </mc:Fallback>
        </mc:AlternateContent>
      </w:r>
      <w:r w:rsidR="00CF2580">
        <w:rPr>
          <w:rFonts w:ascii="Times New Roman" w:hAnsi="Times New Roman" w:cs="Times New Roman"/>
          <w:sz w:val="24"/>
          <w:szCs w:val="24"/>
        </w:rPr>
        <w:t>June 7, 1965</w:t>
      </w:r>
    </w:p>
    <w:p w14:paraId="7F7D59EF" w14:textId="77777777" w:rsidR="005A496A" w:rsidRPr="005A496A" w:rsidRDefault="00CF2580" w:rsidP="00CF2580">
      <w:pPr>
        <w:pStyle w:val="bodytext1"/>
        <w:shd w:val="clear" w:color="auto" w:fill="FFFFFF"/>
        <w:ind w:left="0"/>
        <w:rPr>
          <w:rFonts w:ascii="Times New Roman" w:hAnsi="Times New Roman"/>
          <w:sz w:val="23"/>
          <w:szCs w:val="23"/>
        </w:rPr>
      </w:pPr>
      <w:r w:rsidRPr="002B5A1D">
        <w:rPr>
          <w:rFonts w:ascii="Times New Roman" w:hAnsi="Times New Roman"/>
          <w:sz w:val="23"/>
          <w:szCs w:val="23"/>
          <w:u w:val="single"/>
        </w:rPr>
        <w:t>Appellant</w:t>
      </w:r>
      <w:r w:rsidRPr="005A496A">
        <w:rPr>
          <w:rFonts w:ascii="Times New Roman" w:hAnsi="Times New Roman"/>
          <w:sz w:val="23"/>
          <w:szCs w:val="23"/>
        </w:rPr>
        <w:t xml:space="preserve"> Griswold is Executive Director of the Planned Parenthood League of Connecticut. Appellant Buxton is a licensed physician and a professor … They gave information, instruction, and medical </w:t>
      </w:r>
      <w:proofErr w:type="gramStart"/>
      <w:r w:rsidRPr="005A496A">
        <w:rPr>
          <w:rFonts w:ascii="Times New Roman" w:hAnsi="Times New Roman"/>
          <w:sz w:val="23"/>
          <w:szCs w:val="23"/>
        </w:rPr>
        <w:t xml:space="preserve">advice to </w:t>
      </w:r>
      <w:r w:rsidRPr="005A496A">
        <w:rPr>
          <w:rFonts w:ascii="Times New Roman" w:hAnsi="Times New Roman"/>
          <w:i/>
          <w:iCs/>
          <w:sz w:val="23"/>
          <w:szCs w:val="23"/>
        </w:rPr>
        <w:t>married persons</w:t>
      </w:r>
      <w:r w:rsidRPr="005A496A">
        <w:rPr>
          <w:rFonts w:ascii="Times New Roman" w:hAnsi="Times New Roman"/>
          <w:sz w:val="23"/>
          <w:szCs w:val="23"/>
        </w:rPr>
        <w:t xml:space="preserve"> as to the means of preventing </w:t>
      </w:r>
      <w:r w:rsidRPr="007134E4">
        <w:rPr>
          <w:rFonts w:ascii="Times New Roman" w:hAnsi="Times New Roman"/>
          <w:b/>
          <w:sz w:val="23"/>
          <w:szCs w:val="23"/>
        </w:rPr>
        <w:t>conception</w:t>
      </w:r>
      <w:r w:rsidRPr="005A496A">
        <w:rPr>
          <w:rFonts w:ascii="Times New Roman" w:hAnsi="Times New Roman"/>
          <w:sz w:val="23"/>
          <w:szCs w:val="23"/>
        </w:rPr>
        <w:t>….We think</w:t>
      </w:r>
      <w:proofErr w:type="gramEnd"/>
      <w:r w:rsidRPr="005A496A">
        <w:rPr>
          <w:rFonts w:ascii="Times New Roman" w:hAnsi="Times New Roman"/>
          <w:sz w:val="23"/>
          <w:szCs w:val="23"/>
        </w:rPr>
        <w:t xml:space="preserve"> that appellants have </w:t>
      </w:r>
      <w:r w:rsidRPr="007134E4">
        <w:rPr>
          <w:rFonts w:ascii="Times New Roman" w:hAnsi="Times New Roman"/>
          <w:b/>
          <w:sz w:val="23"/>
          <w:szCs w:val="23"/>
        </w:rPr>
        <w:t>standing</w:t>
      </w:r>
      <w:r w:rsidRPr="005A496A">
        <w:rPr>
          <w:rFonts w:ascii="Times New Roman" w:hAnsi="Times New Roman"/>
          <w:sz w:val="23"/>
          <w:szCs w:val="23"/>
        </w:rPr>
        <w:t xml:space="preserve"> to raise the constitutional rights of the married people with whom they had a professional relationship. </w:t>
      </w:r>
    </w:p>
    <w:p w14:paraId="06F033BE" w14:textId="77777777" w:rsidR="00CF2580" w:rsidRPr="005A496A" w:rsidRDefault="00CF2580" w:rsidP="00CF2580">
      <w:pPr>
        <w:pStyle w:val="bodytext1"/>
        <w:shd w:val="clear" w:color="auto" w:fill="FFFFFF"/>
        <w:ind w:left="0"/>
        <w:rPr>
          <w:rFonts w:ascii="Times New Roman" w:hAnsi="Times New Roman"/>
          <w:sz w:val="23"/>
          <w:szCs w:val="23"/>
        </w:rPr>
      </w:pPr>
      <w:proofErr w:type="gramStart"/>
      <w:r w:rsidRPr="005A496A">
        <w:rPr>
          <w:rFonts w:ascii="Times New Roman" w:hAnsi="Times New Roman"/>
          <w:sz w:val="23"/>
          <w:szCs w:val="23"/>
        </w:rPr>
        <w:t xml:space="preserve">…The </w:t>
      </w:r>
      <w:r w:rsidRPr="007134E4">
        <w:rPr>
          <w:rFonts w:ascii="Times New Roman" w:hAnsi="Times New Roman"/>
          <w:b/>
          <w:sz w:val="23"/>
          <w:szCs w:val="23"/>
        </w:rPr>
        <w:t>association</w:t>
      </w:r>
      <w:r w:rsidRPr="005A496A">
        <w:rPr>
          <w:rFonts w:ascii="Times New Roman" w:hAnsi="Times New Roman"/>
          <w:sz w:val="23"/>
          <w:szCs w:val="23"/>
        </w:rPr>
        <w:t xml:space="preserve"> of people is not mentioned in the Constitution nor in the Bill of Rights.</w:t>
      </w:r>
      <w:proofErr w:type="gramEnd"/>
      <w:r w:rsidRPr="005A496A">
        <w:rPr>
          <w:rFonts w:ascii="Times New Roman" w:hAnsi="Times New Roman"/>
          <w:sz w:val="23"/>
          <w:szCs w:val="23"/>
        </w:rPr>
        <w:t xml:space="preserve"> The right to educate a child in a school of the parents' choice -- whether public or private or </w:t>
      </w:r>
      <w:r w:rsidRPr="007134E4">
        <w:rPr>
          <w:rFonts w:ascii="Times New Roman" w:hAnsi="Times New Roman"/>
          <w:b/>
          <w:sz w:val="23"/>
          <w:szCs w:val="23"/>
        </w:rPr>
        <w:t xml:space="preserve">parochial </w:t>
      </w:r>
      <w:r w:rsidRPr="005A496A">
        <w:rPr>
          <w:rFonts w:ascii="Times New Roman" w:hAnsi="Times New Roman"/>
          <w:sz w:val="23"/>
          <w:szCs w:val="23"/>
        </w:rPr>
        <w:t xml:space="preserve">-- is also not mentioned. Nor is the right to study any particular subject or any foreign language. Yet the </w:t>
      </w:r>
      <w:hyperlink r:id="rId9" w:history="1">
        <w:r w:rsidRPr="005A496A">
          <w:rPr>
            <w:rFonts w:ascii="Times New Roman" w:hAnsi="Times New Roman"/>
            <w:sz w:val="23"/>
            <w:szCs w:val="23"/>
          </w:rPr>
          <w:t>First Amendment</w:t>
        </w:r>
      </w:hyperlink>
      <w:r w:rsidRPr="005A496A">
        <w:rPr>
          <w:rFonts w:ascii="Times New Roman" w:hAnsi="Times New Roman"/>
          <w:sz w:val="23"/>
          <w:szCs w:val="23"/>
        </w:rPr>
        <w:t xml:space="preserve"> has been </w:t>
      </w:r>
      <w:r w:rsidRPr="007E29A6">
        <w:rPr>
          <w:rFonts w:ascii="Times New Roman" w:hAnsi="Times New Roman"/>
          <w:sz w:val="23"/>
          <w:szCs w:val="23"/>
          <w:u w:val="single"/>
        </w:rPr>
        <w:t>construed</w:t>
      </w:r>
      <w:r w:rsidRPr="005A496A">
        <w:rPr>
          <w:rFonts w:ascii="Times New Roman" w:hAnsi="Times New Roman"/>
          <w:sz w:val="23"/>
          <w:szCs w:val="23"/>
        </w:rPr>
        <w:t xml:space="preserve"> to include certain of those rights.</w:t>
      </w:r>
    </w:p>
    <w:p w14:paraId="47FDB4B3" w14:textId="77777777" w:rsidR="007134E4" w:rsidRPr="005A496A" w:rsidRDefault="00CF2580" w:rsidP="00CF2580">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…The right of freedom of speech and press includes not only the right to </w:t>
      </w:r>
      <w:r w:rsidRPr="007134E4">
        <w:rPr>
          <w:rFonts w:ascii="Times New Roman" w:hAnsi="Times New Roman"/>
          <w:b/>
          <w:sz w:val="23"/>
          <w:szCs w:val="23"/>
        </w:rPr>
        <w:t>utter</w:t>
      </w:r>
      <w:r w:rsidRPr="005A496A">
        <w:rPr>
          <w:rFonts w:ascii="Times New Roman" w:hAnsi="Times New Roman"/>
          <w:sz w:val="23"/>
          <w:szCs w:val="23"/>
        </w:rPr>
        <w:t xml:space="preserve"> or to print, but the right to distribute, the right to receive, the right to read and freedom of inquiry, freedom of thought, and freedom to teach… Without those </w:t>
      </w:r>
      <w:r w:rsidRPr="002B5A1D">
        <w:rPr>
          <w:rFonts w:ascii="Times New Roman" w:hAnsi="Times New Roman"/>
          <w:sz w:val="23"/>
          <w:szCs w:val="23"/>
          <w:u w:val="single"/>
        </w:rPr>
        <w:t>peripheral</w:t>
      </w:r>
      <w:r w:rsidRPr="005A496A">
        <w:rPr>
          <w:rFonts w:ascii="Times New Roman" w:hAnsi="Times New Roman"/>
          <w:sz w:val="23"/>
          <w:szCs w:val="23"/>
        </w:rPr>
        <w:t xml:space="preserve"> rights, the specific rights would be less secure. </w:t>
      </w:r>
    </w:p>
    <w:p w14:paraId="6B0A051A" w14:textId="77777777" w:rsidR="00CF2580" w:rsidRPr="005A496A" w:rsidRDefault="00CF2580" w:rsidP="00CF2580">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In </w:t>
      </w:r>
      <w:r w:rsidRPr="005A496A">
        <w:rPr>
          <w:rFonts w:ascii="Times New Roman" w:hAnsi="Times New Roman"/>
          <w:i/>
          <w:iCs/>
          <w:sz w:val="23"/>
          <w:szCs w:val="23"/>
        </w:rPr>
        <w:t>NAACP v. Alabama,</w:t>
      </w:r>
      <w:r w:rsidRPr="005A496A">
        <w:rPr>
          <w:rFonts w:ascii="Times New Roman" w:hAnsi="Times New Roman"/>
          <w:sz w:val="23"/>
          <w:szCs w:val="23"/>
        </w:rPr>
        <w:t xml:space="preserve"> we protected the "freedom to associate and privacy in one's associations," noting that freedom of association was a peripheral </w:t>
      </w:r>
      <w:hyperlink r:id="rId10" w:history="1">
        <w:r w:rsidRPr="005A496A">
          <w:rPr>
            <w:rFonts w:ascii="Times New Roman" w:hAnsi="Times New Roman"/>
            <w:sz w:val="23"/>
            <w:szCs w:val="23"/>
          </w:rPr>
          <w:t>First Amendment</w:t>
        </w:r>
      </w:hyperlink>
      <w:r w:rsidRPr="005A496A">
        <w:rPr>
          <w:rFonts w:ascii="Times New Roman" w:hAnsi="Times New Roman"/>
          <w:sz w:val="23"/>
          <w:szCs w:val="23"/>
        </w:rPr>
        <w:t xml:space="preserve"> right. …In other words, the </w:t>
      </w:r>
      <w:hyperlink r:id="rId11" w:history="1">
        <w:r w:rsidRPr="005A496A">
          <w:rPr>
            <w:rFonts w:ascii="Times New Roman" w:hAnsi="Times New Roman"/>
            <w:sz w:val="23"/>
            <w:szCs w:val="23"/>
          </w:rPr>
          <w:t>First Amendment</w:t>
        </w:r>
      </w:hyperlink>
      <w:r w:rsidRPr="005A496A">
        <w:rPr>
          <w:rFonts w:ascii="Times New Roman" w:hAnsi="Times New Roman"/>
          <w:sz w:val="23"/>
          <w:szCs w:val="23"/>
        </w:rPr>
        <w:t xml:space="preserve"> has a </w:t>
      </w:r>
      <w:r w:rsidRPr="002B5A1D">
        <w:rPr>
          <w:rFonts w:ascii="Times New Roman" w:hAnsi="Times New Roman"/>
          <w:sz w:val="23"/>
          <w:szCs w:val="23"/>
          <w:u w:val="single"/>
        </w:rPr>
        <w:t>penumbra</w:t>
      </w:r>
      <w:r w:rsidRPr="005A496A">
        <w:rPr>
          <w:rFonts w:ascii="Times New Roman" w:hAnsi="Times New Roman"/>
          <w:sz w:val="23"/>
          <w:szCs w:val="23"/>
        </w:rPr>
        <w:t xml:space="preserve"> where privacy is protected from governmental intrusion…. </w:t>
      </w:r>
    </w:p>
    <w:p w14:paraId="7A729A9F" w14:textId="77777777" w:rsidR="00CF2580" w:rsidRPr="005A496A" w:rsidRDefault="00CF2580" w:rsidP="00CF2580">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…The right of "association," like the right of belief, is more than the right to attend a meeting; it includes the right to express one's attitudes or </w:t>
      </w:r>
      <w:r w:rsidRPr="007134E4">
        <w:rPr>
          <w:rFonts w:ascii="Times New Roman" w:hAnsi="Times New Roman"/>
          <w:b/>
          <w:sz w:val="23"/>
          <w:szCs w:val="23"/>
        </w:rPr>
        <w:t xml:space="preserve">philosophies </w:t>
      </w:r>
      <w:r w:rsidRPr="005A496A">
        <w:rPr>
          <w:rFonts w:ascii="Times New Roman" w:hAnsi="Times New Roman"/>
          <w:sz w:val="23"/>
          <w:szCs w:val="23"/>
        </w:rPr>
        <w:t xml:space="preserve">by membership in a group or by </w:t>
      </w:r>
      <w:r w:rsidRPr="007134E4">
        <w:rPr>
          <w:rFonts w:ascii="Times New Roman" w:hAnsi="Times New Roman"/>
          <w:b/>
          <w:sz w:val="23"/>
          <w:szCs w:val="23"/>
        </w:rPr>
        <w:t xml:space="preserve">affiliation </w:t>
      </w:r>
      <w:r w:rsidRPr="005A496A">
        <w:rPr>
          <w:rFonts w:ascii="Times New Roman" w:hAnsi="Times New Roman"/>
          <w:sz w:val="23"/>
          <w:szCs w:val="23"/>
        </w:rPr>
        <w:t xml:space="preserve">with it or by other lawful means. Association in that context is a form of expression of opinion, and, while it is not expressly included in the </w:t>
      </w:r>
      <w:hyperlink r:id="rId12" w:history="1">
        <w:r w:rsidRPr="005A496A">
          <w:rPr>
            <w:rFonts w:ascii="Times New Roman" w:hAnsi="Times New Roman"/>
            <w:sz w:val="23"/>
            <w:szCs w:val="23"/>
          </w:rPr>
          <w:t>First Amendment</w:t>
        </w:r>
      </w:hyperlink>
      <w:r w:rsidRPr="005A496A">
        <w:rPr>
          <w:rFonts w:ascii="Times New Roman" w:hAnsi="Times New Roman"/>
          <w:sz w:val="23"/>
          <w:szCs w:val="23"/>
        </w:rPr>
        <w:t xml:space="preserve">, its existence is necessary in making the </w:t>
      </w:r>
      <w:r w:rsidRPr="007134E4">
        <w:rPr>
          <w:rFonts w:ascii="Times New Roman" w:hAnsi="Times New Roman"/>
          <w:b/>
          <w:sz w:val="23"/>
          <w:szCs w:val="23"/>
        </w:rPr>
        <w:t xml:space="preserve">express </w:t>
      </w:r>
      <w:r w:rsidRPr="005A496A">
        <w:rPr>
          <w:rFonts w:ascii="Times New Roman" w:hAnsi="Times New Roman"/>
          <w:sz w:val="23"/>
          <w:szCs w:val="23"/>
        </w:rPr>
        <w:t xml:space="preserve">guarantees fully meaningful. </w:t>
      </w:r>
    </w:p>
    <w:p w14:paraId="19A2C06C" w14:textId="77777777" w:rsidR="00CF2580" w:rsidRPr="005A496A" w:rsidRDefault="00CF2580" w:rsidP="00CF2580">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…specific guarantees in the Bill of Rights have penumbras, formed by </w:t>
      </w:r>
      <w:r w:rsidRPr="007E29A6">
        <w:rPr>
          <w:rFonts w:ascii="Times New Roman" w:hAnsi="Times New Roman"/>
          <w:sz w:val="23"/>
          <w:szCs w:val="23"/>
          <w:u w:val="single"/>
        </w:rPr>
        <w:t>emanations</w:t>
      </w:r>
      <w:r w:rsidRPr="005A496A">
        <w:rPr>
          <w:rFonts w:ascii="Times New Roman" w:hAnsi="Times New Roman"/>
          <w:sz w:val="23"/>
          <w:szCs w:val="23"/>
        </w:rPr>
        <w:t xml:space="preserve"> from those guarantees that help give them life and substance. Various guarantees create zones of privacy. The right of association contained in the penumbra of the </w:t>
      </w:r>
      <w:hyperlink r:id="rId13" w:history="1">
        <w:r w:rsidRPr="005A496A">
          <w:rPr>
            <w:rFonts w:ascii="Times New Roman" w:hAnsi="Times New Roman"/>
            <w:sz w:val="23"/>
            <w:szCs w:val="23"/>
          </w:rPr>
          <w:t>First Amendment</w:t>
        </w:r>
      </w:hyperlink>
      <w:r w:rsidRPr="005A496A">
        <w:rPr>
          <w:rFonts w:ascii="Times New Roman" w:hAnsi="Times New Roman"/>
          <w:sz w:val="23"/>
          <w:szCs w:val="23"/>
        </w:rPr>
        <w:t xml:space="preserve"> is one, as we have seen. The </w:t>
      </w:r>
      <w:hyperlink r:id="rId14" w:history="1">
        <w:r w:rsidRPr="005A496A">
          <w:rPr>
            <w:rFonts w:ascii="Times New Roman" w:hAnsi="Times New Roman"/>
            <w:sz w:val="23"/>
            <w:szCs w:val="23"/>
          </w:rPr>
          <w:t>Third Amendment</w:t>
        </w:r>
      </w:hyperlink>
      <w:r w:rsidRPr="005A496A">
        <w:rPr>
          <w:rFonts w:ascii="Times New Roman" w:hAnsi="Times New Roman"/>
          <w:sz w:val="23"/>
          <w:szCs w:val="23"/>
        </w:rPr>
        <w:t xml:space="preserve">, in its prohibition against the quartering of soldiers "in any house" in time of peace without the consent of the owner, is another facet of that privacy. The </w:t>
      </w:r>
      <w:hyperlink r:id="rId15" w:history="1">
        <w:r w:rsidRPr="005A496A">
          <w:rPr>
            <w:rFonts w:ascii="Times New Roman" w:hAnsi="Times New Roman"/>
            <w:sz w:val="23"/>
            <w:szCs w:val="23"/>
          </w:rPr>
          <w:t>Fourth Amendment</w:t>
        </w:r>
      </w:hyperlink>
      <w:r w:rsidRPr="005A496A">
        <w:rPr>
          <w:rFonts w:ascii="Times New Roman" w:hAnsi="Times New Roman"/>
          <w:sz w:val="23"/>
          <w:szCs w:val="23"/>
        </w:rPr>
        <w:t xml:space="preserve"> explicitly affirms the "right of the people to be secure in their persons, houses, papers, and effects, against unreasonable searches and seizures." The </w:t>
      </w:r>
      <w:hyperlink r:id="rId16" w:history="1">
        <w:r w:rsidRPr="005A496A">
          <w:rPr>
            <w:rFonts w:ascii="Times New Roman" w:hAnsi="Times New Roman"/>
            <w:sz w:val="23"/>
            <w:szCs w:val="23"/>
          </w:rPr>
          <w:t>Fifth Amendment</w:t>
        </w:r>
      </w:hyperlink>
      <w:r w:rsidRPr="005A496A">
        <w:rPr>
          <w:rFonts w:ascii="Times New Roman" w:hAnsi="Times New Roman"/>
          <w:sz w:val="23"/>
          <w:szCs w:val="23"/>
        </w:rPr>
        <w:t xml:space="preserve">, in its </w:t>
      </w:r>
      <w:r w:rsidRPr="007134E4">
        <w:rPr>
          <w:rFonts w:ascii="Times New Roman" w:hAnsi="Times New Roman"/>
          <w:b/>
          <w:sz w:val="23"/>
          <w:szCs w:val="23"/>
        </w:rPr>
        <w:t>Self-Incrimination</w:t>
      </w:r>
      <w:r w:rsidRPr="005A496A">
        <w:rPr>
          <w:rFonts w:ascii="Times New Roman" w:hAnsi="Times New Roman"/>
          <w:sz w:val="23"/>
          <w:szCs w:val="23"/>
        </w:rPr>
        <w:t xml:space="preserve"> Clause, enables the citizen to create a zone of privacy which government may not force him to surrender to his </w:t>
      </w:r>
      <w:r w:rsidRPr="00D11D11">
        <w:rPr>
          <w:rFonts w:ascii="Times New Roman" w:hAnsi="Times New Roman"/>
          <w:b/>
          <w:sz w:val="23"/>
          <w:szCs w:val="23"/>
        </w:rPr>
        <w:t>detriment</w:t>
      </w:r>
      <w:r w:rsidRPr="005A496A">
        <w:rPr>
          <w:rFonts w:ascii="Times New Roman" w:hAnsi="Times New Roman"/>
          <w:sz w:val="23"/>
          <w:szCs w:val="23"/>
        </w:rPr>
        <w:t xml:space="preserve">. The </w:t>
      </w:r>
      <w:hyperlink r:id="rId17" w:history="1">
        <w:r w:rsidRPr="005A496A">
          <w:rPr>
            <w:rFonts w:ascii="Times New Roman" w:hAnsi="Times New Roman"/>
            <w:sz w:val="23"/>
            <w:szCs w:val="23"/>
          </w:rPr>
          <w:t>Ninth Amendment</w:t>
        </w:r>
      </w:hyperlink>
      <w:r w:rsidRPr="005A496A">
        <w:rPr>
          <w:rFonts w:ascii="Times New Roman" w:hAnsi="Times New Roman"/>
          <w:sz w:val="23"/>
          <w:szCs w:val="23"/>
        </w:rPr>
        <w:t xml:space="preserve"> provides: "The </w:t>
      </w:r>
      <w:r w:rsidRPr="009B5A7C">
        <w:rPr>
          <w:rFonts w:ascii="Times New Roman" w:hAnsi="Times New Roman"/>
          <w:sz w:val="23"/>
          <w:szCs w:val="23"/>
          <w:u w:val="single"/>
        </w:rPr>
        <w:t xml:space="preserve">enumeration </w:t>
      </w:r>
      <w:r w:rsidRPr="005A496A">
        <w:rPr>
          <w:rFonts w:ascii="Times New Roman" w:hAnsi="Times New Roman"/>
          <w:sz w:val="23"/>
          <w:szCs w:val="23"/>
        </w:rPr>
        <w:t xml:space="preserve">in the Constitution, of certain rights, shall not be construed to deny or </w:t>
      </w:r>
      <w:r w:rsidRPr="007134E4">
        <w:rPr>
          <w:rFonts w:ascii="Times New Roman" w:hAnsi="Times New Roman"/>
          <w:b/>
          <w:sz w:val="23"/>
          <w:szCs w:val="23"/>
        </w:rPr>
        <w:t>disparage</w:t>
      </w:r>
      <w:r w:rsidRPr="005A496A">
        <w:rPr>
          <w:rFonts w:ascii="Times New Roman" w:hAnsi="Times New Roman"/>
          <w:sz w:val="23"/>
          <w:szCs w:val="23"/>
        </w:rPr>
        <w:t xml:space="preserve"> others retained by the people."</w:t>
      </w:r>
    </w:p>
    <w:p w14:paraId="13BCB00D" w14:textId="77777777" w:rsidR="00CF2580" w:rsidRPr="005A496A" w:rsidRDefault="00CF2580" w:rsidP="00CF2580">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The Fourth and </w:t>
      </w:r>
      <w:hyperlink r:id="rId18" w:history="1">
        <w:r w:rsidRPr="005A496A">
          <w:rPr>
            <w:rFonts w:ascii="Times New Roman" w:hAnsi="Times New Roman"/>
            <w:sz w:val="23"/>
            <w:szCs w:val="23"/>
          </w:rPr>
          <w:t>Fifth Amendment</w:t>
        </w:r>
      </w:hyperlink>
      <w:r w:rsidRPr="005A496A">
        <w:rPr>
          <w:rFonts w:ascii="Times New Roman" w:hAnsi="Times New Roman"/>
          <w:sz w:val="23"/>
          <w:szCs w:val="23"/>
        </w:rPr>
        <w:t xml:space="preserve">s were described in </w:t>
      </w:r>
      <w:r w:rsidRPr="005A496A">
        <w:rPr>
          <w:rFonts w:ascii="Times New Roman" w:hAnsi="Times New Roman"/>
          <w:i/>
          <w:iCs/>
          <w:sz w:val="23"/>
          <w:szCs w:val="23"/>
        </w:rPr>
        <w:t>Boyd v. United States,</w:t>
      </w:r>
      <w:r w:rsidRPr="005A496A">
        <w:rPr>
          <w:rFonts w:ascii="Times New Roman" w:hAnsi="Times New Roman"/>
          <w:sz w:val="23"/>
          <w:szCs w:val="23"/>
        </w:rPr>
        <w:t xml:space="preserve"> as protection against all governmental invasions "of the </w:t>
      </w:r>
      <w:r w:rsidRPr="007134E4">
        <w:rPr>
          <w:rFonts w:ascii="Times New Roman" w:hAnsi="Times New Roman"/>
          <w:b/>
          <w:sz w:val="23"/>
          <w:szCs w:val="23"/>
        </w:rPr>
        <w:t xml:space="preserve">sanctity </w:t>
      </w:r>
      <w:r w:rsidRPr="005A496A">
        <w:rPr>
          <w:rFonts w:ascii="Times New Roman" w:hAnsi="Times New Roman"/>
          <w:sz w:val="23"/>
          <w:szCs w:val="23"/>
        </w:rPr>
        <w:t>of a man's home and the privacies of life."</w:t>
      </w:r>
      <w:bookmarkStart w:id="0" w:name="381_US_479astref"/>
      <w:r w:rsidRPr="005A496A">
        <w:rPr>
          <w:rFonts w:ascii="Times New Roman" w:hAnsi="Times New Roman"/>
          <w:sz w:val="23"/>
          <w:szCs w:val="23"/>
          <w:vertAlign w:val="superscript"/>
        </w:rPr>
        <w:t xml:space="preserve"> </w:t>
      </w:r>
      <w:bookmarkEnd w:id="0"/>
      <w:r w:rsidRPr="005A496A">
        <w:rPr>
          <w:rFonts w:ascii="Times New Roman" w:hAnsi="Times New Roman"/>
          <w:sz w:val="23"/>
          <w:szCs w:val="23"/>
        </w:rPr>
        <w:t xml:space="preserve"> We recently referred in </w:t>
      </w:r>
      <w:proofErr w:type="spellStart"/>
      <w:r w:rsidRPr="005A496A">
        <w:rPr>
          <w:rFonts w:ascii="Times New Roman" w:hAnsi="Times New Roman"/>
          <w:i/>
          <w:iCs/>
          <w:sz w:val="23"/>
          <w:szCs w:val="23"/>
        </w:rPr>
        <w:t>Mapp</w:t>
      </w:r>
      <w:proofErr w:type="spellEnd"/>
      <w:r w:rsidRPr="005A496A">
        <w:rPr>
          <w:rFonts w:ascii="Times New Roman" w:hAnsi="Times New Roman"/>
          <w:i/>
          <w:iCs/>
          <w:sz w:val="23"/>
          <w:szCs w:val="23"/>
        </w:rPr>
        <w:t xml:space="preserve"> v. Ohio,</w:t>
      </w:r>
      <w:r w:rsidRPr="005A496A">
        <w:rPr>
          <w:rFonts w:ascii="Times New Roman" w:hAnsi="Times New Roman"/>
          <w:sz w:val="23"/>
          <w:szCs w:val="23"/>
        </w:rPr>
        <w:t xml:space="preserve"> to the </w:t>
      </w:r>
      <w:hyperlink r:id="rId19" w:history="1">
        <w:r w:rsidRPr="005A496A">
          <w:rPr>
            <w:rFonts w:ascii="Times New Roman" w:hAnsi="Times New Roman"/>
            <w:sz w:val="23"/>
            <w:szCs w:val="23"/>
          </w:rPr>
          <w:t>Fourth Amendment</w:t>
        </w:r>
      </w:hyperlink>
      <w:r w:rsidRPr="005A496A">
        <w:rPr>
          <w:rFonts w:ascii="Times New Roman" w:hAnsi="Times New Roman"/>
          <w:sz w:val="23"/>
          <w:szCs w:val="23"/>
        </w:rPr>
        <w:t xml:space="preserve"> as creating a "right to privacy, no less important than any other right carefully an</w:t>
      </w:r>
      <w:r w:rsidR="002B5A1D">
        <w:rPr>
          <w:rFonts w:ascii="Times New Roman" w:hAnsi="Times New Roman"/>
          <w:sz w:val="23"/>
          <w:szCs w:val="23"/>
        </w:rPr>
        <w:t>d</w:t>
      </w:r>
      <w:r w:rsidRPr="005A496A">
        <w:rPr>
          <w:rFonts w:ascii="Times New Roman" w:hAnsi="Times New Roman"/>
          <w:sz w:val="23"/>
          <w:szCs w:val="23"/>
        </w:rPr>
        <w:t xml:space="preserve"> particularly reserved to the people." </w:t>
      </w:r>
    </w:p>
    <w:p w14:paraId="48BA9AC5" w14:textId="77777777" w:rsidR="005A496A" w:rsidRPr="005A496A" w:rsidRDefault="005A496A" w:rsidP="005A496A">
      <w:pPr>
        <w:spacing w:line="240" w:lineRule="auto"/>
        <w:contextualSpacing/>
        <w:rPr>
          <w:rFonts w:ascii="Times New Roman" w:hAnsi="Times New Roman"/>
          <w:sz w:val="23"/>
          <w:szCs w:val="23"/>
        </w:rPr>
      </w:pPr>
      <w:r w:rsidRPr="005A496A">
        <w:rPr>
          <w:rFonts w:ascii="Times New Roman" w:hAnsi="Times New Roman"/>
          <w:noProof/>
          <w:sz w:val="23"/>
          <w:szCs w:val="23"/>
        </w:rPr>
        <w:lastRenderedPageBreak/>
        <mc:AlternateContent>
          <mc:Choice Requires="wps">
            <w:drawing>
              <wp:anchor distT="0" distB="0" distL="114300" distR="114300" simplePos="0" relativeHeight="251661312" behindDoc="0" locked="0" layoutInCell="1" allowOverlap="1" wp14:anchorId="6796CA09" wp14:editId="1ED1A1A0">
                <wp:simplePos x="0" y="0"/>
                <wp:positionH relativeFrom="column">
                  <wp:posOffset>5257800</wp:posOffset>
                </wp:positionH>
                <wp:positionV relativeFrom="paragraph">
                  <wp:posOffset>-47625</wp:posOffset>
                </wp:positionV>
                <wp:extent cx="1143000" cy="8810625"/>
                <wp:effectExtent l="0" t="0" r="254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810625"/>
                        </a:xfrm>
                        <a:prstGeom prst="rect">
                          <a:avLst/>
                        </a:prstGeom>
                        <a:solidFill>
                          <a:srgbClr val="FFFFFF"/>
                        </a:solidFill>
                        <a:ln w="9525">
                          <a:solidFill>
                            <a:srgbClr val="000000"/>
                          </a:solidFill>
                          <a:miter lim="800000"/>
                          <a:headEnd/>
                          <a:tailEnd/>
                        </a:ln>
                      </wps:spPr>
                      <wps:txbx>
                        <w:txbxContent>
                          <w:p w14:paraId="17A4C434" w14:textId="77777777" w:rsidR="002D63DE" w:rsidRDefault="002D63DE" w:rsidP="001A6C8A">
                            <w:pPr>
                              <w:spacing w:after="0" w:line="240" w:lineRule="auto"/>
                              <w:contextualSpacing/>
                              <w:rPr>
                                <w:rFonts w:ascii="Times New Roman" w:hAnsi="Times New Roman" w:cs="Times New Roman"/>
                                <w:sz w:val="23"/>
                                <w:szCs w:val="23"/>
                              </w:rPr>
                            </w:pPr>
                          </w:p>
                          <w:p w14:paraId="2707B61D" w14:textId="77777777" w:rsidR="002D63DE" w:rsidRDefault="002D63DE" w:rsidP="001A6C8A">
                            <w:pPr>
                              <w:spacing w:after="0" w:line="240" w:lineRule="auto"/>
                              <w:contextualSpacing/>
                              <w:rPr>
                                <w:rFonts w:ascii="Times New Roman" w:hAnsi="Times New Roman" w:cs="Times New Roman"/>
                                <w:sz w:val="23"/>
                                <w:szCs w:val="23"/>
                              </w:rPr>
                            </w:pPr>
                          </w:p>
                          <w:p w14:paraId="6DE24B5A" w14:textId="77777777" w:rsidR="002D63DE" w:rsidRDefault="002D63DE" w:rsidP="001A6C8A">
                            <w:pPr>
                              <w:spacing w:after="0"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birth</w:t>
                            </w:r>
                            <w:proofErr w:type="gramEnd"/>
                            <w:r>
                              <w:rPr>
                                <w:rFonts w:ascii="Times New Roman" w:hAnsi="Times New Roman" w:cs="Times New Roman"/>
                                <w:sz w:val="23"/>
                                <w:szCs w:val="23"/>
                              </w:rPr>
                              <w:t xml:space="preserve"> control</w:t>
                            </w:r>
                          </w:p>
                          <w:p w14:paraId="1D71AD37" w14:textId="77777777" w:rsidR="002D63DE" w:rsidRDefault="002D63DE" w:rsidP="001A6C8A">
                            <w:pPr>
                              <w:spacing w:after="0" w:line="240" w:lineRule="auto"/>
                              <w:contextualSpacing/>
                              <w:rPr>
                                <w:rFonts w:ascii="Times New Roman" w:hAnsi="Times New Roman" w:cs="Times New Roman"/>
                                <w:sz w:val="23"/>
                                <w:szCs w:val="23"/>
                              </w:rPr>
                            </w:pPr>
                          </w:p>
                          <w:p w14:paraId="2D0ED1A7" w14:textId="77777777" w:rsidR="002D63DE" w:rsidRDefault="002D63DE" w:rsidP="001A6C8A">
                            <w:pPr>
                              <w:spacing w:after="0" w:line="240" w:lineRule="auto"/>
                              <w:contextualSpacing/>
                              <w:rPr>
                                <w:rFonts w:ascii="Times New Roman" w:hAnsi="Times New Roman" w:cs="Times New Roman"/>
                                <w:sz w:val="23"/>
                                <w:szCs w:val="23"/>
                              </w:rPr>
                            </w:pPr>
                          </w:p>
                          <w:p w14:paraId="2C8DAFC3" w14:textId="77777777" w:rsidR="002D63DE" w:rsidRDefault="002D63DE" w:rsidP="001A6C8A">
                            <w:pPr>
                              <w:spacing w:after="0" w:line="240" w:lineRule="auto"/>
                              <w:contextualSpacing/>
                              <w:rPr>
                                <w:rFonts w:ascii="Times New Roman" w:hAnsi="Times New Roman" w:cs="Times New Roman"/>
                                <w:sz w:val="23"/>
                                <w:szCs w:val="23"/>
                              </w:rPr>
                            </w:pPr>
                          </w:p>
                          <w:p w14:paraId="529C993D" w14:textId="77777777" w:rsidR="002D63DE" w:rsidRDefault="002D63DE" w:rsidP="001A6C8A">
                            <w:pPr>
                              <w:spacing w:after="0" w:line="240" w:lineRule="auto"/>
                              <w:contextualSpacing/>
                              <w:rPr>
                                <w:rFonts w:ascii="Times New Roman" w:hAnsi="Times New Roman" w:cs="Times New Roman"/>
                                <w:sz w:val="23"/>
                                <w:szCs w:val="23"/>
                              </w:rPr>
                            </w:pPr>
                          </w:p>
                          <w:p w14:paraId="5CAFAB59" w14:textId="77777777" w:rsidR="002D63DE" w:rsidRDefault="002D63DE" w:rsidP="001A6C8A">
                            <w:pPr>
                              <w:spacing w:after="0" w:line="240" w:lineRule="auto"/>
                              <w:contextualSpacing/>
                              <w:rPr>
                                <w:rFonts w:ascii="Times New Roman" w:hAnsi="Times New Roman" w:cs="Times New Roman"/>
                                <w:sz w:val="23"/>
                                <w:szCs w:val="23"/>
                              </w:rPr>
                            </w:pPr>
                          </w:p>
                          <w:p w14:paraId="5A4D6EA4" w14:textId="77777777" w:rsidR="002D63DE" w:rsidRDefault="002D63DE" w:rsidP="001A6C8A">
                            <w:pPr>
                              <w:spacing w:after="0" w:line="240" w:lineRule="auto"/>
                              <w:contextualSpacing/>
                              <w:rPr>
                                <w:rFonts w:ascii="Times New Roman" w:hAnsi="Times New Roman" w:cs="Times New Roman"/>
                                <w:sz w:val="23"/>
                                <w:szCs w:val="23"/>
                              </w:rPr>
                            </w:pPr>
                          </w:p>
                          <w:p w14:paraId="679A6656" w14:textId="77777777" w:rsidR="002D63DE" w:rsidRDefault="002D63DE" w:rsidP="001A6C8A">
                            <w:pPr>
                              <w:spacing w:after="0" w:line="240" w:lineRule="auto"/>
                              <w:contextualSpacing/>
                              <w:rPr>
                                <w:rFonts w:ascii="Times New Roman" w:hAnsi="Times New Roman" w:cs="Times New Roman"/>
                                <w:sz w:val="23"/>
                                <w:szCs w:val="23"/>
                              </w:rPr>
                            </w:pPr>
                          </w:p>
                          <w:p w14:paraId="2954EC80" w14:textId="77777777" w:rsidR="002D63DE" w:rsidRDefault="002D63DE" w:rsidP="001A6C8A">
                            <w:pPr>
                              <w:spacing w:after="0" w:line="240" w:lineRule="auto"/>
                              <w:contextualSpacing/>
                              <w:rPr>
                                <w:rFonts w:ascii="Times New Roman" w:hAnsi="Times New Roman" w:cs="Times New Roman"/>
                                <w:sz w:val="23"/>
                                <w:szCs w:val="23"/>
                              </w:rPr>
                            </w:pPr>
                          </w:p>
                          <w:p w14:paraId="3A01BC9F" w14:textId="77777777" w:rsidR="002D63DE" w:rsidRDefault="002D63DE" w:rsidP="001A6C8A">
                            <w:pPr>
                              <w:spacing w:after="0" w:line="240" w:lineRule="auto"/>
                              <w:contextualSpacing/>
                              <w:rPr>
                                <w:rFonts w:ascii="Times New Roman" w:hAnsi="Times New Roman" w:cs="Times New Roman"/>
                                <w:sz w:val="23"/>
                                <w:szCs w:val="23"/>
                              </w:rPr>
                            </w:pPr>
                          </w:p>
                          <w:p w14:paraId="6FADFC98" w14:textId="77777777" w:rsidR="002D63DE" w:rsidRDefault="002D63DE" w:rsidP="001A6C8A">
                            <w:pPr>
                              <w:spacing w:after="0" w:line="240" w:lineRule="auto"/>
                              <w:contextualSpacing/>
                              <w:rPr>
                                <w:rFonts w:ascii="Times New Roman" w:hAnsi="Times New Roman" w:cs="Times New Roman"/>
                                <w:sz w:val="23"/>
                                <w:szCs w:val="23"/>
                              </w:rPr>
                            </w:pPr>
                          </w:p>
                          <w:p w14:paraId="00C05573" w14:textId="77777777" w:rsidR="002D63DE" w:rsidRDefault="002D63DE" w:rsidP="001A6C8A">
                            <w:pPr>
                              <w:spacing w:after="0" w:line="240" w:lineRule="auto"/>
                              <w:contextualSpacing/>
                              <w:rPr>
                                <w:rFonts w:ascii="Times New Roman" w:hAnsi="Times New Roman" w:cs="Times New Roman"/>
                                <w:sz w:val="23"/>
                                <w:szCs w:val="23"/>
                              </w:rPr>
                            </w:pPr>
                          </w:p>
                          <w:p w14:paraId="6D9AC490" w14:textId="77777777" w:rsidR="002D63DE" w:rsidRDefault="002D63DE" w:rsidP="001A6C8A">
                            <w:pPr>
                              <w:spacing w:after="0" w:line="240" w:lineRule="auto"/>
                              <w:contextualSpacing/>
                              <w:rPr>
                                <w:rFonts w:ascii="Times New Roman" w:hAnsi="Times New Roman" w:cs="Times New Roman"/>
                                <w:sz w:val="23"/>
                                <w:szCs w:val="23"/>
                              </w:rPr>
                            </w:pPr>
                          </w:p>
                          <w:p w14:paraId="6573B376" w14:textId="77777777" w:rsidR="002D63DE" w:rsidRDefault="002D63DE" w:rsidP="001A6C8A">
                            <w:pPr>
                              <w:spacing w:after="0" w:line="240" w:lineRule="auto"/>
                              <w:contextualSpacing/>
                              <w:rPr>
                                <w:rFonts w:ascii="Times New Roman" w:hAnsi="Times New Roman" w:cs="Times New Roman"/>
                                <w:sz w:val="23"/>
                                <w:szCs w:val="23"/>
                              </w:rPr>
                            </w:pPr>
                          </w:p>
                          <w:p w14:paraId="22B89182" w14:textId="77777777" w:rsidR="002D63DE" w:rsidRDefault="002D63DE" w:rsidP="001A6C8A">
                            <w:pPr>
                              <w:spacing w:after="0" w:line="240" w:lineRule="auto"/>
                              <w:contextualSpacing/>
                              <w:rPr>
                                <w:rFonts w:ascii="Times New Roman" w:hAnsi="Times New Roman" w:cs="Times New Roman"/>
                                <w:sz w:val="23"/>
                                <w:szCs w:val="23"/>
                              </w:rPr>
                            </w:pPr>
                          </w:p>
                          <w:p w14:paraId="1DB2E153" w14:textId="77777777" w:rsidR="002D63DE" w:rsidRDefault="002D63DE" w:rsidP="001A6C8A">
                            <w:pPr>
                              <w:spacing w:after="0" w:line="240" w:lineRule="auto"/>
                              <w:contextualSpacing/>
                              <w:rPr>
                                <w:rFonts w:ascii="Times New Roman" w:hAnsi="Times New Roman" w:cs="Times New Roman"/>
                                <w:sz w:val="23"/>
                                <w:szCs w:val="23"/>
                              </w:rPr>
                            </w:pPr>
                          </w:p>
                          <w:p w14:paraId="727AF05C" w14:textId="77777777" w:rsidR="002D63DE" w:rsidRDefault="002D63DE" w:rsidP="001A6C8A">
                            <w:pPr>
                              <w:spacing w:after="0" w:line="240" w:lineRule="auto"/>
                              <w:contextualSpacing/>
                              <w:rPr>
                                <w:rFonts w:ascii="Times New Roman" w:hAnsi="Times New Roman" w:cs="Times New Roman"/>
                                <w:sz w:val="23"/>
                                <w:szCs w:val="23"/>
                              </w:rPr>
                            </w:pPr>
                          </w:p>
                          <w:p w14:paraId="7163F700" w14:textId="77777777" w:rsidR="002D63DE" w:rsidRDefault="002D63DE" w:rsidP="001A6C8A">
                            <w:pPr>
                              <w:spacing w:after="0" w:line="240" w:lineRule="auto"/>
                              <w:contextualSpacing/>
                              <w:rPr>
                                <w:rFonts w:ascii="Times New Roman" w:hAnsi="Times New Roman" w:cs="Times New Roman"/>
                                <w:sz w:val="23"/>
                                <w:szCs w:val="23"/>
                              </w:rPr>
                            </w:pPr>
                          </w:p>
                          <w:p w14:paraId="2307A553" w14:textId="77777777" w:rsidR="002D63DE" w:rsidRPr="001A6C8A" w:rsidRDefault="002D63DE" w:rsidP="001A6C8A">
                            <w:pPr>
                              <w:spacing w:after="0" w:line="240" w:lineRule="auto"/>
                              <w:contextualSpacing/>
                              <w:rPr>
                                <w:rFonts w:ascii="Times New Roman" w:hAnsi="Times New Roman" w:cs="Times New Roman"/>
                                <w:sz w:val="23"/>
                                <w:szCs w:val="23"/>
                              </w:rPr>
                            </w:pPr>
                            <w:proofErr w:type="gramStart"/>
                            <w:r>
                              <w:rPr>
                                <w:rFonts w:ascii="Times New Roman" w:hAnsi="Times New Roman" w:cs="Times New Roman"/>
                                <w:sz w:val="23"/>
                                <w:szCs w:val="23"/>
                              </w:rPr>
                              <w:t>ridiculously</w:t>
                            </w:r>
                            <w:proofErr w:type="gramEnd"/>
                            <w:r>
                              <w:rPr>
                                <w:rFonts w:ascii="Times New Roman" w:hAnsi="Times New Roman" w:cs="Times New Roman"/>
                                <w:sz w:val="23"/>
                                <w:szCs w:val="23"/>
                              </w:rPr>
                              <w:t xml:space="preserve"> stupid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8CB215F" id="_x0000_s1027" type="#_x0000_t202" style="position:absolute;margin-left:414pt;margin-top:-3.75pt;width:90pt;height:6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">
                <v:textbox>
                  <w:txbxContent>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r>
                        <w:rPr>
                          <w:rFonts w:ascii="Times New Roman" w:hAnsi="Times New Roman" w:cs="Times New Roman"/>
                          <w:sz w:val="23"/>
                          <w:szCs w:val="23"/>
                        </w:rPr>
                        <w:t>birth control</w:t>
                      </w: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Default="002D63DE" w:rsidP="001A6C8A">
                      <w:pPr>
                        <w:spacing w:after="0" w:line="240" w:lineRule="auto"/>
                        <w:contextualSpacing/>
                        <w:rPr>
                          <w:rFonts w:ascii="Times New Roman" w:hAnsi="Times New Roman" w:cs="Times New Roman"/>
                          <w:sz w:val="23"/>
                          <w:szCs w:val="23"/>
                        </w:rPr>
                      </w:pPr>
                    </w:p>
                    <w:p w:rsidR="002D63DE" w:rsidRPr="001A6C8A" w:rsidRDefault="002D63DE" w:rsidP="001A6C8A">
                      <w:pPr>
                        <w:spacing w:after="0" w:line="240" w:lineRule="auto"/>
                        <w:contextualSpacing/>
                        <w:rPr>
                          <w:rFonts w:ascii="Times New Roman" w:hAnsi="Times New Roman" w:cs="Times New Roman"/>
                          <w:sz w:val="23"/>
                          <w:szCs w:val="23"/>
                        </w:rPr>
                      </w:pPr>
                      <w:r>
                        <w:rPr>
                          <w:rFonts w:ascii="Times New Roman" w:hAnsi="Times New Roman" w:cs="Times New Roman"/>
                          <w:sz w:val="23"/>
                          <w:szCs w:val="23"/>
                        </w:rPr>
                        <w:t>ridiculously stupid</w:t>
                      </w:r>
                    </w:p>
                  </w:txbxContent>
                </v:textbox>
                <w10:wrap type="square"/>
              </v:shape>
            </w:pict>
          </mc:Fallback>
        </mc:AlternateContent>
      </w:r>
      <w:r w:rsidR="00CF2580" w:rsidRPr="005A496A">
        <w:rPr>
          <w:rFonts w:ascii="Times New Roman" w:hAnsi="Times New Roman"/>
          <w:sz w:val="23"/>
          <w:szCs w:val="23"/>
        </w:rPr>
        <w:t>…The present case, then, concerns a relationship lying within the zone of privacy created by</w:t>
      </w:r>
      <w:r w:rsidRPr="005A496A">
        <w:rPr>
          <w:rFonts w:ascii="Times New Roman" w:hAnsi="Times New Roman"/>
          <w:sz w:val="23"/>
          <w:szCs w:val="23"/>
        </w:rPr>
        <w:t xml:space="preserve"> several fundamental constitutional guarantees. And it concerns a law which, in forbidding the use of </w:t>
      </w:r>
      <w:r w:rsidRPr="001A6C8A">
        <w:rPr>
          <w:rFonts w:ascii="Times New Roman" w:hAnsi="Times New Roman"/>
          <w:sz w:val="23"/>
          <w:szCs w:val="23"/>
          <w:u w:val="single"/>
        </w:rPr>
        <w:t>contraceptives</w:t>
      </w:r>
      <w:r w:rsidRPr="005A496A">
        <w:rPr>
          <w:rFonts w:ascii="Times New Roman" w:hAnsi="Times New Roman"/>
          <w:sz w:val="23"/>
          <w:szCs w:val="23"/>
        </w:rPr>
        <w:t xml:space="preserve">, rather than regulating their manufacture or sale, seeks to achieve its goals by means having a maximum destructive impact upon that relationship. Such a law cannot stand in light of the familiar </w:t>
      </w:r>
      <w:r w:rsidRPr="007134E4">
        <w:rPr>
          <w:rFonts w:ascii="Times New Roman" w:hAnsi="Times New Roman"/>
          <w:b/>
          <w:sz w:val="23"/>
          <w:szCs w:val="23"/>
        </w:rPr>
        <w:t>principle</w:t>
      </w:r>
      <w:r w:rsidRPr="005A496A">
        <w:rPr>
          <w:rFonts w:ascii="Times New Roman" w:hAnsi="Times New Roman"/>
          <w:sz w:val="23"/>
          <w:szCs w:val="23"/>
        </w:rPr>
        <w:t xml:space="preserve">…that a governmental purpose to control or prevent activities constitutionally subject to state </w:t>
      </w:r>
      <w:r w:rsidRPr="007134E4">
        <w:rPr>
          <w:rFonts w:ascii="Times New Roman" w:hAnsi="Times New Roman"/>
          <w:b/>
          <w:sz w:val="23"/>
          <w:szCs w:val="23"/>
        </w:rPr>
        <w:t>regulation</w:t>
      </w:r>
      <w:r w:rsidRPr="005A496A">
        <w:rPr>
          <w:rFonts w:ascii="Times New Roman" w:hAnsi="Times New Roman"/>
          <w:sz w:val="23"/>
          <w:szCs w:val="23"/>
        </w:rPr>
        <w:t xml:space="preserve"> may not be achieved by means which sweep unnecessarily broadly and thereby invade the area of protected freedoms.</w:t>
      </w:r>
    </w:p>
    <w:p w14:paraId="39D04C50"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We deal with a right of privacy older than the Bill of Rights -- older than our political parties, older than our school system. Marriage is a coming together for better or for worse, hopefully enduring, and intimate to the degree of being </w:t>
      </w:r>
      <w:r w:rsidRPr="007134E4">
        <w:rPr>
          <w:rFonts w:ascii="Times New Roman" w:hAnsi="Times New Roman"/>
          <w:b/>
          <w:sz w:val="23"/>
          <w:szCs w:val="23"/>
        </w:rPr>
        <w:t>sacred</w:t>
      </w:r>
      <w:r w:rsidRPr="005A496A">
        <w:rPr>
          <w:rFonts w:ascii="Times New Roman" w:hAnsi="Times New Roman"/>
          <w:sz w:val="23"/>
          <w:szCs w:val="23"/>
        </w:rPr>
        <w:t xml:space="preserve">. It is an association that promotes a way of life, not causes; a harmony in living, not political faiths; a </w:t>
      </w:r>
      <w:r w:rsidRPr="007134E4">
        <w:rPr>
          <w:rFonts w:ascii="Times New Roman" w:hAnsi="Times New Roman"/>
          <w:b/>
          <w:sz w:val="23"/>
          <w:szCs w:val="23"/>
        </w:rPr>
        <w:t>bilateral</w:t>
      </w:r>
      <w:r w:rsidRPr="005A496A">
        <w:rPr>
          <w:rFonts w:ascii="Times New Roman" w:hAnsi="Times New Roman"/>
          <w:sz w:val="23"/>
          <w:szCs w:val="23"/>
        </w:rPr>
        <w:t xml:space="preserve"> loyalty, not commercial or social projects. Yet it is an association for as </w:t>
      </w:r>
      <w:r w:rsidRPr="006D5449">
        <w:rPr>
          <w:rFonts w:ascii="Times New Roman" w:hAnsi="Times New Roman"/>
          <w:b/>
          <w:sz w:val="23"/>
          <w:szCs w:val="23"/>
        </w:rPr>
        <w:t>noble</w:t>
      </w:r>
      <w:r w:rsidRPr="005A496A">
        <w:rPr>
          <w:rFonts w:ascii="Times New Roman" w:hAnsi="Times New Roman"/>
          <w:sz w:val="23"/>
          <w:szCs w:val="23"/>
        </w:rPr>
        <w:t xml:space="preserve"> a purpose as any involved in our prior decisions.  </w:t>
      </w:r>
      <w:r w:rsidRPr="006D5449">
        <w:rPr>
          <w:rFonts w:ascii="Times New Roman" w:hAnsi="Times New Roman"/>
          <w:b/>
          <w:i/>
          <w:iCs/>
          <w:sz w:val="23"/>
          <w:szCs w:val="23"/>
        </w:rPr>
        <w:t>Reversed.</w:t>
      </w:r>
      <w:r w:rsidRPr="005A496A">
        <w:rPr>
          <w:rFonts w:ascii="Times New Roman" w:hAnsi="Times New Roman"/>
          <w:sz w:val="23"/>
          <w:szCs w:val="23"/>
        </w:rPr>
        <w:t xml:space="preserve"> </w:t>
      </w:r>
    </w:p>
    <w:p w14:paraId="070C5D40" w14:textId="77777777" w:rsidR="005A496A" w:rsidRPr="005A496A" w:rsidRDefault="001A6C8A" w:rsidP="005A496A">
      <w:pPr>
        <w:pStyle w:val="bodytext1"/>
        <w:shd w:val="clear" w:color="auto" w:fill="FFFFFF"/>
        <w:ind w:left="0"/>
        <w:rPr>
          <w:rFonts w:ascii="Times New Roman" w:hAnsi="Times New Roman"/>
          <w:b/>
          <w:sz w:val="23"/>
          <w:szCs w:val="23"/>
        </w:rPr>
      </w:pPr>
      <w:r>
        <w:rPr>
          <w:rFonts w:ascii="Times New Roman" w:hAnsi="Times New Roman"/>
          <w:b/>
          <w:sz w:val="23"/>
          <w:szCs w:val="23"/>
        </w:rPr>
        <w:t>EXCERPTED FROM THE DISENT BY JUSTICE STEWART</w:t>
      </w:r>
    </w:p>
    <w:p w14:paraId="00621EF8"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Since 1879, Connecticut has had on its books a law which forbids the use of contraceptives by anyone. I think this is an uncommonly silly law… But we are not asked in this case to say whether we think this law is unwise, or even </w:t>
      </w:r>
      <w:r w:rsidRPr="001C40FB">
        <w:rPr>
          <w:rFonts w:ascii="Times New Roman" w:hAnsi="Times New Roman"/>
          <w:sz w:val="23"/>
          <w:szCs w:val="23"/>
          <w:u w:val="single"/>
        </w:rPr>
        <w:t>asinine</w:t>
      </w:r>
      <w:r w:rsidRPr="005A496A">
        <w:rPr>
          <w:rFonts w:ascii="Times New Roman" w:hAnsi="Times New Roman"/>
          <w:sz w:val="23"/>
          <w:szCs w:val="23"/>
        </w:rPr>
        <w:t>. We are asked to hold that it violates the United States Constitution. And that I cannot do.</w:t>
      </w:r>
    </w:p>
    <w:p w14:paraId="4F4AC4D8"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In the course of its opinion, the Court refers to no less than six Amendments to the Constitution…. But the Court does not say which of these Amendments, if any, it thinks is </w:t>
      </w:r>
      <w:r w:rsidRPr="006D5449">
        <w:rPr>
          <w:rFonts w:ascii="Times New Roman" w:hAnsi="Times New Roman"/>
          <w:b/>
          <w:sz w:val="23"/>
          <w:szCs w:val="23"/>
        </w:rPr>
        <w:t xml:space="preserve">infringed </w:t>
      </w:r>
      <w:r w:rsidRPr="005A496A">
        <w:rPr>
          <w:rFonts w:ascii="Times New Roman" w:hAnsi="Times New Roman"/>
          <w:sz w:val="23"/>
          <w:szCs w:val="23"/>
        </w:rPr>
        <w:t>by this Connecticut law.</w:t>
      </w:r>
    </w:p>
    <w:p w14:paraId="026E6785"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As to the First, Third, Fourth, and </w:t>
      </w:r>
      <w:hyperlink r:id="rId20" w:history="1">
        <w:r w:rsidRPr="005A496A">
          <w:rPr>
            <w:rFonts w:ascii="Times New Roman" w:hAnsi="Times New Roman"/>
            <w:sz w:val="23"/>
            <w:szCs w:val="23"/>
          </w:rPr>
          <w:t>Fifth Amendment</w:t>
        </w:r>
      </w:hyperlink>
      <w:r w:rsidRPr="005A496A">
        <w:rPr>
          <w:rFonts w:ascii="Times New Roman" w:hAnsi="Times New Roman"/>
          <w:sz w:val="23"/>
          <w:szCs w:val="23"/>
        </w:rPr>
        <w:t xml:space="preserve">s, I can find nothing in any of them to invalidate this Connecticut law… And surely, unless the solemn process of constitutional </w:t>
      </w:r>
      <w:r w:rsidRPr="006D5449">
        <w:rPr>
          <w:rFonts w:ascii="Times New Roman" w:hAnsi="Times New Roman"/>
          <w:b/>
          <w:sz w:val="23"/>
          <w:szCs w:val="23"/>
        </w:rPr>
        <w:t>adjudication</w:t>
      </w:r>
      <w:r w:rsidRPr="005A496A">
        <w:rPr>
          <w:rFonts w:ascii="Times New Roman" w:hAnsi="Times New Roman"/>
          <w:sz w:val="23"/>
          <w:szCs w:val="23"/>
        </w:rPr>
        <w:t xml:space="preserve"> is to descend to the level of a play on words, there is not involved here any </w:t>
      </w:r>
      <w:r w:rsidRPr="006D5449">
        <w:rPr>
          <w:rFonts w:ascii="Times New Roman" w:hAnsi="Times New Roman"/>
          <w:b/>
          <w:sz w:val="23"/>
          <w:szCs w:val="23"/>
        </w:rPr>
        <w:t>abridgment</w:t>
      </w:r>
      <w:r w:rsidRPr="005A496A">
        <w:rPr>
          <w:rFonts w:ascii="Times New Roman" w:hAnsi="Times New Roman"/>
          <w:sz w:val="23"/>
          <w:szCs w:val="23"/>
        </w:rPr>
        <w:t xml:space="preserve"> of the freedom of speech, or of the press; or the right of the people peaceably to assemble, and to petition the Government for a </w:t>
      </w:r>
      <w:r w:rsidRPr="006D5449">
        <w:rPr>
          <w:rFonts w:ascii="Times New Roman" w:hAnsi="Times New Roman"/>
          <w:b/>
          <w:sz w:val="23"/>
          <w:szCs w:val="23"/>
        </w:rPr>
        <w:t xml:space="preserve">redress </w:t>
      </w:r>
      <w:r w:rsidRPr="005A496A">
        <w:rPr>
          <w:rFonts w:ascii="Times New Roman" w:hAnsi="Times New Roman"/>
          <w:sz w:val="23"/>
          <w:szCs w:val="23"/>
        </w:rPr>
        <w:t>of grievances. No soldier has been quartered in any house. There has been no search, and no seizure. Nobody has been compelled to be a witness against himself.</w:t>
      </w:r>
      <w:bookmarkStart w:id="1" w:name="381_US_479fn3/6ref"/>
      <w:r w:rsidRPr="005A496A">
        <w:rPr>
          <w:rFonts w:ascii="Times New Roman" w:hAnsi="Times New Roman"/>
          <w:sz w:val="23"/>
          <w:szCs w:val="23"/>
        </w:rPr>
        <w:fldChar w:fldCharType="begin"/>
      </w:r>
      <w:r w:rsidRPr="005A496A">
        <w:rPr>
          <w:rFonts w:ascii="Times New Roman" w:hAnsi="Times New Roman"/>
          <w:sz w:val="23"/>
          <w:szCs w:val="23"/>
        </w:rPr>
        <w:instrText xml:space="preserve"> HYPERLINK "http://www.law.cornell.edu/supct/html/historics/USSC_CR_0381_0479_ZD1.html" \l "381_US_479fn3/6" </w:instrText>
      </w:r>
      <w:r w:rsidRPr="005A496A">
        <w:rPr>
          <w:rFonts w:ascii="Times New Roman" w:hAnsi="Times New Roman"/>
          <w:sz w:val="23"/>
          <w:szCs w:val="23"/>
        </w:rPr>
        <w:fldChar w:fldCharType="separate"/>
      </w:r>
      <w:r w:rsidRPr="005A496A">
        <w:rPr>
          <w:rFonts w:ascii="Times New Roman" w:hAnsi="Times New Roman"/>
          <w:sz w:val="23"/>
          <w:szCs w:val="23"/>
          <w:vertAlign w:val="superscript"/>
        </w:rPr>
        <w:t xml:space="preserve"> </w:t>
      </w:r>
      <w:r w:rsidRPr="005A496A">
        <w:rPr>
          <w:rFonts w:ascii="Times New Roman" w:hAnsi="Times New Roman"/>
          <w:sz w:val="23"/>
          <w:szCs w:val="23"/>
        </w:rPr>
        <w:fldChar w:fldCharType="end"/>
      </w:r>
      <w:bookmarkEnd w:id="1"/>
      <w:r w:rsidRPr="005A496A">
        <w:rPr>
          <w:rFonts w:ascii="Times New Roman" w:hAnsi="Times New Roman"/>
          <w:sz w:val="23"/>
          <w:szCs w:val="23"/>
        </w:rPr>
        <w:t xml:space="preserve"> </w:t>
      </w:r>
    </w:p>
    <w:p w14:paraId="6085FB08"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The Court also quotes the </w:t>
      </w:r>
      <w:hyperlink r:id="rId21" w:history="1">
        <w:r w:rsidRPr="005A496A">
          <w:rPr>
            <w:rFonts w:ascii="Times New Roman" w:hAnsi="Times New Roman"/>
            <w:sz w:val="23"/>
            <w:szCs w:val="23"/>
          </w:rPr>
          <w:t>Ninth Amendment</w:t>
        </w:r>
      </w:hyperlink>
      <w:r w:rsidRPr="005A496A">
        <w:rPr>
          <w:rFonts w:ascii="Times New Roman" w:hAnsi="Times New Roman"/>
          <w:sz w:val="23"/>
          <w:szCs w:val="23"/>
        </w:rPr>
        <w:t xml:space="preserve">…But to say that the </w:t>
      </w:r>
      <w:hyperlink r:id="rId22" w:history="1">
        <w:r w:rsidRPr="005A496A">
          <w:rPr>
            <w:rFonts w:ascii="Times New Roman" w:hAnsi="Times New Roman"/>
            <w:sz w:val="23"/>
            <w:szCs w:val="23"/>
          </w:rPr>
          <w:t>Ninth Amendment</w:t>
        </w:r>
      </w:hyperlink>
      <w:r w:rsidRPr="005A496A">
        <w:rPr>
          <w:rFonts w:ascii="Times New Roman" w:hAnsi="Times New Roman"/>
          <w:sz w:val="23"/>
          <w:szCs w:val="23"/>
        </w:rPr>
        <w:t xml:space="preserve"> has anything to do with this case is to turn somersaults with history. The </w:t>
      </w:r>
      <w:hyperlink r:id="rId23" w:history="1">
        <w:r w:rsidRPr="005A496A">
          <w:rPr>
            <w:rFonts w:ascii="Times New Roman" w:hAnsi="Times New Roman"/>
            <w:sz w:val="23"/>
            <w:szCs w:val="23"/>
          </w:rPr>
          <w:t>Ninth Amendment</w:t>
        </w:r>
      </w:hyperlink>
      <w:r w:rsidRPr="005A496A">
        <w:rPr>
          <w:rFonts w:ascii="Times New Roman" w:hAnsi="Times New Roman"/>
          <w:sz w:val="23"/>
          <w:szCs w:val="23"/>
        </w:rPr>
        <w:t xml:space="preserve"> … was framed by James Madison and adopted by the States simply to make clear that the adoption of the Bill of Rights did not alter the plan that the </w:t>
      </w:r>
      <w:r w:rsidRPr="005A496A">
        <w:rPr>
          <w:rFonts w:ascii="Times New Roman" w:hAnsi="Times New Roman"/>
          <w:i/>
          <w:iCs/>
          <w:sz w:val="23"/>
          <w:szCs w:val="23"/>
        </w:rPr>
        <w:t>Federal</w:t>
      </w:r>
      <w:r w:rsidRPr="005A496A">
        <w:rPr>
          <w:rFonts w:ascii="Times New Roman" w:hAnsi="Times New Roman"/>
          <w:sz w:val="23"/>
          <w:szCs w:val="23"/>
        </w:rPr>
        <w:t xml:space="preserve"> Government was to be a government of express and limited powers, and that all rights and powers not delegated to it were retained by the people and the individual States. Until today, no member of this Court has ever suggested that the </w:t>
      </w:r>
      <w:hyperlink r:id="rId24" w:history="1">
        <w:r w:rsidRPr="005A496A">
          <w:rPr>
            <w:rFonts w:ascii="Times New Roman" w:hAnsi="Times New Roman"/>
            <w:sz w:val="23"/>
            <w:szCs w:val="23"/>
          </w:rPr>
          <w:t>Ninth Amendment</w:t>
        </w:r>
      </w:hyperlink>
      <w:r w:rsidRPr="005A496A">
        <w:rPr>
          <w:rFonts w:ascii="Times New Roman" w:hAnsi="Times New Roman"/>
          <w:sz w:val="23"/>
          <w:szCs w:val="23"/>
        </w:rPr>
        <w:t xml:space="preserve"> meant anything else…</w:t>
      </w:r>
    </w:p>
    <w:p w14:paraId="0EFC5813" w14:textId="77777777" w:rsidR="005A496A" w:rsidRPr="005A496A"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With all </w:t>
      </w:r>
      <w:r w:rsidRPr="006D5449">
        <w:rPr>
          <w:rFonts w:ascii="Times New Roman" w:hAnsi="Times New Roman"/>
          <w:b/>
          <w:sz w:val="23"/>
          <w:szCs w:val="23"/>
        </w:rPr>
        <w:t>deference</w:t>
      </w:r>
      <w:r w:rsidRPr="005A496A">
        <w:rPr>
          <w:rFonts w:ascii="Times New Roman" w:hAnsi="Times New Roman"/>
          <w:sz w:val="23"/>
          <w:szCs w:val="23"/>
        </w:rPr>
        <w:t xml:space="preserve">, I can find no such general right of privacy in the Bill of Rights, in any other part of the Constitution, or in any case ever before decided by this Court. </w:t>
      </w:r>
    </w:p>
    <w:p w14:paraId="01CB862E" w14:textId="77777777" w:rsidR="002B5A1D" w:rsidRDefault="005A496A" w:rsidP="005A496A">
      <w:pPr>
        <w:pStyle w:val="bodytext1"/>
        <w:shd w:val="clear" w:color="auto" w:fill="FFFFFF"/>
        <w:ind w:left="0"/>
        <w:rPr>
          <w:rFonts w:ascii="Times New Roman" w:hAnsi="Times New Roman"/>
          <w:sz w:val="23"/>
          <w:szCs w:val="23"/>
        </w:rPr>
      </w:pPr>
      <w:r w:rsidRPr="005A496A">
        <w:rPr>
          <w:rFonts w:ascii="Times New Roman" w:hAnsi="Times New Roman"/>
          <w:sz w:val="23"/>
          <w:szCs w:val="23"/>
        </w:rPr>
        <w:t xml:space="preserve">…it is not the function of this Court to decide cases on the basis of community standards. We are here to decide cases "agreeably to the Constitution and laws of the United States." It is the essence of judicial duty to </w:t>
      </w:r>
      <w:r w:rsidRPr="006D5449">
        <w:rPr>
          <w:rFonts w:ascii="Times New Roman" w:hAnsi="Times New Roman"/>
          <w:b/>
          <w:sz w:val="23"/>
          <w:szCs w:val="23"/>
        </w:rPr>
        <w:t>subordinate</w:t>
      </w:r>
      <w:r w:rsidRPr="005A496A">
        <w:rPr>
          <w:rFonts w:ascii="Times New Roman" w:hAnsi="Times New Roman"/>
          <w:sz w:val="23"/>
          <w:szCs w:val="23"/>
        </w:rPr>
        <w:t xml:space="preserve"> our own personal views, our own ideas of what legislation is wise and what is not. </w:t>
      </w:r>
    </w:p>
    <w:p w14:paraId="77E74BCE" w14:textId="77777777" w:rsidR="002B5A1D" w:rsidRDefault="002B5A1D" w:rsidP="002B5A1D">
      <w:pPr>
        <w:suppressLineNumbers/>
        <w:jc w:val="center"/>
        <w:rPr>
          <w:rFonts w:ascii="Baskerville Old Face" w:hAnsi="Baskerville Old Face"/>
          <w:b/>
          <w:sz w:val="36"/>
          <w:szCs w:val="24"/>
        </w:rPr>
        <w:sectPr w:rsidR="002B5A1D" w:rsidSect="001A6C8A">
          <w:pgSz w:w="12240" w:h="15840"/>
          <w:pgMar w:top="1080" w:right="1080" w:bottom="540" w:left="1080" w:header="720" w:footer="720" w:gutter="0"/>
          <w:lnNumType w:countBy="1" w:restart="continuous"/>
          <w:cols w:space="720"/>
          <w:docGrid w:linePitch="360"/>
        </w:sectPr>
      </w:pPr>
    </w:p>
    <w:p w14:paraId="7F540769" w14:textId="77777777" w:rsidR="002B5A1D" w:rsidRPr="00094FDC" w:rsidRDefault="00BA3EEC" w:rsidP="002B5A1D">
      <w:pPr>
        <w:suppressLineNumbers/>
        <w:jc w:val="center"/>
        <w:rPr>
          <w:rFonts w:ascii="Baskerville Old Face" w:hAnsi="Baskerville Old Face"/>
          <w:b/>
          <w:sz w:val="36"/>
          <w:szCs w:val="24"/>
        </w:rPr>
      </w:pPr>
      <w:r>
        <w:rPr>
          <w:rFonts w:ascii="Baskerville Old Face" w:hAnsi="Baskerville Old Face"/>
          <w:b/>
          <w:sz w:val="36"/>
          <w:szCs w:val="24"/>
        </w:rPr>
        <w:lastRenderedPageBreak/>
        <w:t>Teacher Guide</w:t>
      </w:r>
    </w:p>
    <w:p w14:paraId="55AD355D" w14:textId="77777777" w:rsidR="002B5A1D" w:rsidRDefault="002B5A1D" w:rsidP="002B5A1D">
      <w:pPr>
        <w:suppressLineNumbers/>
        <w:rPr>
          <w:rFonts w:ascii="Baskerville Old Face" w:hAnsi="Baskerville Old Face"/>
          <w:sz w:val="24"/>
          <w:szCs w:val="24"/>
        </w:rPr>
      </w:pPr>
      <w:r w:rsidRPr="00094FDC">
        <w:rPr>
          <w:rFonts w:ascii="Baskerville Old Face" w:hAnsi="Baskerville Old Face"/>
          <w:sz w:val="24"/>
          <w:szCs w:val="24"/>
        </w:rPr>
        <w:t xml:space="preserve">Name of Text: </w:t>
      </w:r>
      <w:r w:rsidR="001A6C8A">
        <w:rPr>
          <w:rFonts w:ascii="Baskerville Old Face" w:hAnsi="Baskerville Old Face"/>
          <w:sz w:val="24"/>
          <w:szCs w:val="24"/>
        </w:rPr>
        <w:t xml:space="preserve">Griswold v. Connecticut </w:t>
      </w:r>
    </w:p>
    <w:p w14:paraId="70E5121D" w14:textId="77777777" w:rsidR="00D51301" w:rsidRPr="00094FDC" w:rsidRDefault="00D51301" w:rsidP="002B5A1D">
      <w:pPr>
        <w:suppressLineNumbers/>
        <w:rPr>
          <w:rFonts w:ascii="Baskerville Old Face" w:hAnsi="Baskerville Old Face"/>
          <w:sz w:val="24"/>
          <w:szCs w:val="24"/>
        </w:rPr>
      </w:pPr>
      <w:r>
        <w:rPr>
          <w:rFonts w:ascii="Baskerville Old Face" w:hAnsi="Baskerville Old Face"/>
          <w:sz w:val="24"/>
          <w:szCs w:val="24"/>
        </w:rPr>
        <w:t>Grade Level: This is meant to coincide with a U.S. Government curriculum. In the state of Nevada, U.S. Government is a 12</w:t>
      </w:r>
      <w:r w:rsidRPr="00D51301">
        <w:rPr>
          <w:rFonts w:ascii="Baskerville Old Face" w:hAnsi="Baskerville Old Face"/>
          <w:sz w:val="24"/>
          <w:szCs w:val="24"/>
          <w:vertAlign w:val="superscript"/>
        </w:rPr>
        <w:t>th</w:t>
      </w:r>
      <w:r>
        <w:rPr>
          <w:rFonts w:ascii="Baskerville Old Face" w:hAnsi="Baskerville Old Face"/>
          <w:sz w:val="24"/>
          <w:szCs w:val="24"/>
        </w:rPr>
        <w:t xml:space="preserve"> grade course.</w:t>
      </w:r>
    </w:p>
    <w:p w14:paraId="1EF4E0DE" w14:textId="77777777" w:rsidR="00574BAB" w:rsidRDefault="00D51301" w:rsidP="002B5A1D">
      <w:pPr>
        <w:suppressLineNumbers/>
        <w:rPr>
          <w:rFonts w:ascii="Baskerville Old Face" w:hAnsi="Baskerville Old Face"/>
          <w:sz w:val="24"/>
          <w:szCs w:val="24"/>
        </w:rPr>
      </w:pPr>
      <w:r>
        <w:rPr>
          <w:rFonts w:ascii="Baskerville Old Face" w:hAnsi="Baskerville Old Face"/>
          <w:sz w:val="24"/>
          <w:szCs w:val="24"/>
        </w:rPr>
        <w:t xml:space="preserve">Text Complexity: </w:t>
      </w:r>
    </w:p>
    <w:p w14:paraId="336361B7" w14:textId="77777777" w:rsidR="00D51301" w:rsidRDefault="00D51301" w:rsidP="00574BAB">
      <w:pPr>
        <w:pStyle w:val="ListParagraph"/>
        <w:numPr>
          <w:ilvl w:val="0"/>
          <w:numId w:val="5"/>
        </w:numPr>
        <w:suppressLineNumbers/>
        <w:rPr>
          <w:rFonts w:ascii="Baskerville Old Face" w:hAnsi="Baskerville Old Face"/>
          <w:sz w:val="24"/>
          <w:szCs w:val="24"/>
        </w:rPr>
      </w:pPr>
      <w:r w:rsidRPr="00574BAB">
        <w:rPr>
          <w:rFonts w:ascii="Baskerville Old Face" w:hAnsi="Baskerville Old Face"/>
          <w:b/>
          <w:i/>
          <w:sz w:val="24"/>
          <w:szCs w:val="24"/>
        </w:rPr>
        <w:t xml:space="preserve">Quantitative Measurement: </w:t>
      </w:r>
      <w:r w:rsidR="00574BAB">
        <w:rPr>
          <w:rFonts w:ascii="Baskerville Old Face" w:hAnsi="Baskerville Old Face"/>
          <w:b/>
          <w:i/>
          <w:sz w:val="24"/>
          <w:szCs w:val="24"/>
        </w:rPr>
        <w:t xml:space="preserve"> </w:t>
      </w:r>
      <w:proofErr w:type="spellStart"/>
      <w:r w:rsidRPr="00574BAB">
        <w:rPr>
          <w:rFonts w:ascii="Baskerville Old Face" w:hAnsi="Baskerville Old Face"/>
          <w:sz w:val="24"/>
          <w:szCs w:val="24"/>
        </w:rPr>
        <w:t>Fleisch</w:t>
      </w:r>
      <w:proofErr w:type="spellEnd"/>
      <w:r w:rsidRPr="00574BAB">
        <w:rPr>
          <w:rFonts w:ascii="Baskerville Old Face" w:hAnsi="Baskerville Old Face"/>
          <w:sz w:val="24"/>
          <w:szCs w:val="24"/>
        </w:rPr>
        <w:t>-Kinkaid 11.4</w:t>
      </w:r>
      <w:r w:rsidR="00574BAB" w:rsidRPr="00574BAB">
        <w:rPr>
          <w:rFonts w:ascii="Baskerville Old Face" w:hAnsi="Baskerville Old Face"/>
          <w:sz w:val="24"/>
          <w:szCs w:val="24"/>
        </w:rPr>
        <w:t xml:space="preserve">. </w:t>
      </w:r>
      <w:r w:rsidR="00574BAB">
        <w:rPr>
          <w:rFonts w:ascii="Baskerville Old Face" w:hAnsi="Baskerville Old Face"/>
          <w:sz w:val="24"/>
          <w:szCs w:val="24"/>
        </w:rPr>
        <w:t xml:space="preserve">/ </w:t>
      </w:r>
      <w:r w:rsidR="00574BAB" w:rsidRPr="00574BAB">
        <w:rPr>
          <w:rFonts w:ascii="Baskerville Old Face" w:hAnsi="Baskerville Old Face"/>
          <w:sz w:val="24"/>
          <w:szCs w:val="24"/>
        </w:rPr>
        <w:t>Lexile 1270L</w:t>
      </w:r>
    </w:p>
    <w:p w14:paraId="06A884BF" w14:textId="77777777" w:rsidR="00574BAB" w:rsidRDefault="00574BAB" w:rsidP="00574BAB">
      <w:pPr>
        <w:pStyle w:val="ListParagraph"/>
        <w:numPr>
          <w:ilvl w:val="0"/>
          <w:numId w:val="5"/>
        </w:numPr>
        <w:suppressLineNumbers/>
        <w:rPr>
          <w:rFonts w:ascii="Baskerville Old Face" w:hAnsi="Baskerville Old Face"/>
          <w:sz w:val="24"/>
          <w:szCs w:val="24"/>
        </w:rPr>
      </w:pPr>
      <w:r>
        <w:rPr>
          <w:rFonts w:ascii="Baskerville Old Face" w:hAnsi="Baskerville Old Face"/>
          <w:b/>
          <w:i/>
          <w:sz w:val="24"/>
          <w:szCs w:val="24"/>
        </w:rPr>
        <w:t>Qualitative Measurements:</w:t>
      </w:r>
      <w:r>
        <w:rPr>
          <w:rFonts w:ascii="Baskerville Old Face" w:hAnsi="Baskerville Old Face"/>
          <w:sz w:val="24"/>
          <w:szCs w:val="24"/>
        </w:rPr>
        <w:t xml:space="preserve">  Complex structure, high language </w:t>
      </w:r>
      <w:r w:rsidR="008E4462">
        <w:rPr>
          <w:rFonts w:ascii="Baskerville Old Face" w:hAnsi="Baskerville Old Face"/>
          <w:sz w:val="24"/>
          <w:szCs w:val="24"/>
        </w:rPr>
        <w:t xml:space="preserve">and vocabulary </w:t>
      </w:r>
      <w:r>
        <w:rPr>
          <w:rFonts w:ascii="Baskerville Old Face" w:hAnsi="Baskerville Old Face"/>
          <w:sz w:val="24"/>
          <w:szCs w:val="24"/>
        </w:rPr>
        <w:t xml:space="preserve">demands with Tier 2 and Tier 3 vocabulary, sophisticated themes, multiple perspectives, high knowledge of discipline specific content in U.S. government and Constitutional understanding </w:t>
      </w:r>
    </w:p>
    <w:p w14:paraId="09F95002" w14:textId="77777777" w:rsidR="008E4462" w:rsidRPr="00574BAB" w:rsidRDefault="008E4462" w:rsidP="00574BAB">
      <w:pPr>
        <w:pStyle w:val="ListParagraph"/>
        <w:numPr>
          <w:ilvl w:val="0"/>
          <w:numId w:val="5"/>
        </w:numPr>
        <w:suppressLineNumbers/>
        <w:rPr>
          <w:rFonts w:ascii="Baskerville Old Face" w:hAnsi="Baskerville Old Face"/>
          <w:sz w:val="24"/>
          <w:szCs w:val="24"/>
        </w:rPr>
      </w:pPr>
      <w:r>
        <w:rPr>
          <w:rFonts w:ascii="Baskerville Old Face" w:hAnsi="Baskerville Old Face"/>
          <w:b/>
          <w:i/>
          <w:sz w:val="24"/>
          <w:szCs w:val="24"/>
        </w:rPr>
        <w:t>Reader &amp; Task</w:t>
      </w:r>
      <w:r>
        <w:rPr>
          <w:rFonts w:ascii="Baskerville Old Face" w:hAnsi="Baskerville Old Face"/>
          <w:sz w:val="24"/>
          <w:szCs w:val="24"/>
        </w:rPr>
        <w:t xml:space="preserve">: Analyzing </w:t>
      </w:r>
      <w:r w:rsidR="0088072E">
        <w:rPr>
          <w:rFonts w:ascii="Baskerville Old Face" w:hAnsi="Baskerville Old Face"/>
          <w:sz w:val="24"/>
          <w:szCs w:val="24"/>
        </w:rPr>
        <w:t>and interpreting Supreme Court c</w:t>
      </w:r>
      <w:r>
        <w:rPr>
          <w:rFonts w:ascii="Baskerville Old Face" w:hAnsi="Baskerville Old Face"/>
          <w:sz w:val="24"/>
          <w:szCs w:val="24"/>
        </w:rPr>
        <w:t>ases is a cognitively demanding exercise, as this type of text is structured in a non-traditional way and makes use of history, precedent, and appeals to logic to make an argument.</w:t>
      </w:r>
      <w:r w:rsidR="0088072E">
        <w:rPr>
          <w:rFonts w:ascii="Baskerville Old Face" w:hAnsi="Baskerville Old Face"/>
          <w:sz w:val="24"/>
          <w:szCs w:val="24"/>
        </w:rPr>
        <w:t xml:space="preserve"> This type of reading is not typical in earlier grades.</w:t>
      </w:r>
      <w:r>
        <w:rPr>
          <w:rFonts w:ascii="Baskerville Old Face" w:hAnsi="Baskerville Old Face"/>
          <w:sz w:val="24"/>
          <w:szCs w:val="24"/>
        </w:rPr>
        <w:t xml:space="preserve">  In addition, this particular case sets critical precedent for future Supreme Court cases that affect the lives of Americans, including young people</w:t>
      </w:r>
      <w:r w:rsidR="0088072E">
        <w:rPr>
          <w:rFonts w:ascii="Baskerville Old Face" w:hAnsi="Baskerville Old Face"/>
          <w:sz w:val="24"/>
          <w:szCs w:val="24"/>
        </w:rPr>
        <w:t>, making it an engaging topic</w:t>
      </w:r>
      <w:r>
        <w:rPr>
          <w:rFonts w:ascii="Baskerville Old Face" w:hAnsi="Baskerville Old Face"/>
          <w:sz w:val="24"/>
          <w:szCs w:val="24"/>
        </w:rPr>
        <w:t>.  The precedent from this case is based on a conceptual understanding of a “penumbra of rights,” which is highly controversial and open to multiple interpretations.  Students will need background knowledge</w:t>
      </w:r>
      <w:r w:rsidR="001F6254">
        <w:rPr>
          <w:rFonts w:ascii="Baskerville Old Face" w:hAnsi="Baskerville Old Face"/>
          <w:sz w:val="24"/>
          <w:szCs w:val="24"/>
        </w:rPr>
        <w:t xml:space="preserve"> in the area of American Government and Constitutional history to be able to deeply analyze</w:t>
      </w:r>
      <w:r>
        <w:rPr>
          <w:rFonts w:ascii="Baskerville Old Face" w:hAnsi="Baskerville Old Face"/>
          <w:sz w:val="24"/>
          <w:szCs w:val="24"/>
        </w:rPr>
        <w:t xml:space="preserve"> this text and to complete the culminating writing activity.</w:t>
      </w:r>
      <w:r w:rsidR="001F6254">
        <w:rPr>
          <w:rFonts w:ascii="Baskerville Old Face" w:hAnsi="Baskerville Old Face"/>
          <w:sz w:val="24"/>
          <w:szCs w:val="24"/>
        </w:rPr>
        <w:t xml:space="preserve"> However, even without background, the following lesson would permit access and surface understanding for all students.</w:t>
      </w:r>
    </w:p>
    <w:p w14:paraId="3C7F0E2E" w14:textId="77777777" w:rsidR="002B5A1D" w:rsidRDefault="002B5A1D" w:rsidP="002B5A1D">
      <w:pPr>
        <w:suppressLineNumbers/>
        <w:rPr>
          <w:rFonts w:ascii="Baskerville Old Face" w:hAnsi="Baskerville Old Face"/>
          <w:sz w:val="24"/>
          <w:szCs w:val="24"/>
        </w:rPr>
      </w:pPr>
      <w:r w:rsidRPr="00094FDC">
        <w:rPr>
          <w:rFonts w:ascii="Baskerville Old Face" w:hAnsi="Baskerville Old Face"/>
          <w:sz w:val="24"/>
          <w:szCs w:val="24"/>
        </w:rPr>
        <w:t>Question Composers:</w:t>
      </w:r>
      <w:r w:rsidR="001A6C8A">
        <w:rPr>
          <w:rFonts w:ascii="Baskerville Old Face" w:hAnsi="Baskerville Old Face"/>
          <w:sz w:val="24"/>
          <w:szCs w:val="24"/>
        </w:rPr>
        <w:t xml:space="preserve"> Angela Orr and Andrew </w:t>
      </w:r>
      <w:proofErr w:type="spellStart"/>
      <w:r w:rsidR="001A6C8A">
        <w:rPr>
          <w:rFonts w:ascii="Baskerville Old Face" w:hAnsi="Baskerville Old Face"/>
          <w:sz w:val="24"/>
          <w:szCs w:val="24"/>
        </w:rPr>
        <w:t>Yoxsimer</w:t>
      </w:r>
      <w:proofErr w:type="spellEnd"/>
      <w:r w:rsidR="001A6C8A">
        <w:rPr>
          <w:rFonts w:ascii="Baskerville Old Face" w:hAnsi="Baskerville Old Face"/>
          <w:sz w:val="24"/>
          <w:szCs w:val="24"/>
        </w:rPr>
        <w:t xml:space="preserve"> </w:t>
      </w:r>
    </w:p>
    <w:p w14:paraId="714FD00D" w14:textId="77777777" w:rsidR="00FF5EAC" w:rsidRDefault="00F64162" w:rsidP="002B5A1D">
      <w:pPr>
        <w:suppressLineNumbers/>
        <w:rPr>
          <w:rFonts w:ascii="Baskerville Old Face" w:hAnsi="Baskerville Old Face"/>
          <w:sz w:val="24"/>
          <w:szCs w:val="24"/>
        </w:rPr>
      </w:pPr>
      <w:r>
        <w:rPr>
          <w:rFonts w:ascii="Baskerville Old Face" w:hAnsi="Baskerville Old Face"/>
          <w:sz w:val="24"/>
          <w:szCs w:val="24"/>
        </w:rPr>
        <w:t xml:space="preserve">Standards: </w:t>
      </w:r>
    </w:p>
    <w:p w14:paraId="1DED7EA8" w14:textId="77777777" w:rsidR="00FF5EAC" w:rsidRDefault="00FF5EAC" w:rsidP="002B5A1D">
      <w:pPr>
        <w:suppressLineNumbers/>
        <w:rPr>
          <w:rFonts w:ascii="Baskerville Old Face" w:hAnsi="Baskerville Old Face"/>
          <w:sz w:val="24"/>
          <w:szCs w:val="24"/>
        </w:rPr>
      </w:pPr>
      <w:r>
        <w:rPr>
          <w:rFonts w:ascii="Baskerville Old Face" w:hAnsi="Baskerville Old Face"/>
          <w:sz w:val="24"/>
          <w:szCs w:val="24"/>
        </w:rPr>
        <w:t xml:space="preserve">Nevada State Social Studies Standards </w:t>
      </w:r>
      <w:r w:rsidRPr="00F64162">
        <w:rPr>
          <w:rFonts w:ascii="Baskerville Old Face" w:hAnsi="Baskerville Old Face"/>
          <w:sz w:val="23"/>
          <w:szCs w:val="23"/>
        </w:rPr>
        <w:t>C13.5, C14.2, C14.12</w:t>
      </w:r>
    </w:p>
    <w:p w14:paraId="3B20B74B" w14:textId="3A05132C" w:rsidR="00665DB9" w:rsidRDefault="00665DB9" w:rsidP="002B5A1D">
      <w:pPr>
        <w:suppressLineNumbers/>
        <w:rPr>
          <w:rFonts w:ascii="Baskerville Old Face" w:hAnsi="Baskerville Old Face"/>
          <w:sz w:val="24"/>
          <w:szCs w:val="24"/>
        </w:rPr>
      </w:pPr>
      <w:r w:rsidRPr="00F64162">
        <w:rPr>
          <w:rFonts w:ascii="Baskerville Old Face" w:hAnsi="Baskerville Old Face"/>
          <w:sz w:val="23"/>
          <w:szCs w:val="23"/>
        </w:rPr>
        <w:t>CCSS RH</w:t>
      </w:r>
      <w:r w:rsidR="00FF5EAC">
        <w:rPr>
          <w:rFonts w:ascii="Baskerville Old Face" w:hAnsi="Baskerville Old Face"/>
          <w:sz w:val="23"/>
          <w:szCs w:val="23"/>
        </w:rPr>
        <w:t>ST</w:t>
      </w:r>
      <w:r w:rsidRPr="00F64162">
        <w:rPr>
          <w:rFonts w:ascii="Baskerville Old Face" w:hAnsi="Baskerville Old Face"/>
          <w:sz w:val="23"/>
          <w:szCs w:val="23"/>
        </w:rPr>
        <w:t>.</w:t>
      </w:r>
      <w:r w:rsidR="00F64162" w:rsidRPr="00F64162">
        <w:rPr>
          <w:rFonts w:ascii="Baskerville Old Face" w:hAnsi="Baskerville Old Face"/>
          <w:sz w:val="23"/>
          <w:szCs w:val="23"/>
        </w:rPr>
        <w:t>11-12.</w:t>
      </w:r>
      <w:r w:rsidRPr="00F64162">
        <w:rPr>
          <w:rFonts w:ascii="Baskerville Old Face" w:hAnsi="Baskerville Old Face"/>
          <w:sz w:val="23"/>
          <w:szCs w:val="23"/>
        </w:rPr>
        <w:t>1, RH</w:t>
      </w:r>
      <w:r w:rsidR="00FF5EAC">
        <w:rPr>
          <w:rFonts w:ascii="Baskerville Old Face" w:hAnsi="Baskerville Old Face"/>
          <w:sz w:val="23"/>
          <w:szCs w:val="23"/>
        </w:rPr>
        <w:t>ST</w:t>
      </w:r>
      <w:r w:rsidRPr="00F64162">
        <w:rPr>
          <w:rFonts w:ascii="Baskerville Old Face" w:hAnsi="Baskerville Old Face"/>
          <w:sz w:val="23"/>
          <w:szCs w:val="23"/>
        </w:rPr>
        <w:t>.</w:t>
      </w:r>
      <w:r w:rsidR="00F64162" w:rsidRPr="00F64162">
        <w:rPr>
          <w:rFonts w:ascii="Baskerville Old Face" w:hAnsi="Baskerville Old Face"/>
          <w:sz w:val="23"/>
          <w:szCs w:val="23"/>
        </w:rPr>
        <w:t>11-12.</w:t>
      </w:r>
      <w:r w:rsidRPr="00F64162">
        <w:rPr>
          <w:rFonts w:ascii="Baskerville Old Face" w:hAnsi="Baskerville Old Face"/>
          <w:sz w:val="23"/>
          <w:szCs w:val="23"/>
        </w:rPr>
        <w:t xml:space="preserve">2, </w:t>
      </w:r>
      <w:r w:rsidR="00CC2B1B">
        <w:rPr>
          <w:rFonts w:ascii="Baskerville Old Face" w:hAnsi="Baskerville Old Face"/>
          <w:sz w:val="23"/>
          <w:szCs w:val="23"/>
        </w:rPr>
        <w:t xml:space="preserve">RHST.11-12.4, </w:t>
      </w:r>
      <w:r w:rsidRPr="00F64162">
        <w:rPr>
          <w:rFonts w:ascii="Baskerville Old Face" w:hAnsi="Baskerville Old Face"/>
          <w:sz w:val="23"/>
          <w:szCs w:val="23"/>
        </w:rPr>
        <w:t>RH</w:t>
      </w:r>
      <w:r w:rsidR="00FF5EAC">
        <w:rPr>
          <w:rFonts w:ascii="Baskerville Old Face" w:hAnsi="Baskerville Old Face"/>
          <w:sz w:val="23"/>
          <w:szCs w:val="23"/>
        </w:rPr>
        <w:t>ST</w:t>
      </w:r>
      <w:r w:rsidRPr="00F64162">
        <w:rPr>
          <w:rFonts w:ascii="Baskerville Old Face" w:hAnsi="Baskerville Old Face"/>
          <w:sz w:val="23"/>
          <w:szCs w:val="23"/>
        </w:rPr>
        <w:t>.</w:t>
      </w:r>
      <w:r w:rsidR="00F64162" w:rsidRPr="00F64162">
        <w:rPr>
          <w:rFonts w:ascii="Baskerville Old Face" w:hAnsi="Baskerville Old Face"/>
          <w:sz w:val="23"/>
          <w:szCs w:val="23"/>
        </w:rPr>
        <w:t>11-12.</w:t>
      </w:r>
      <w:r w:rsidRPr="00F64162">
        <w:rPr>
          <w:rFonts w:ascii="Baskerville Old Face" w:hAnsi="Baskerville Old Face"/>
          <w:sz w:val="23"/>
          <w:szCs w:val="23"/>
        </w:rPr>
        <w:t>5, RH</w:t>
      </w:r>
      <w:r w:rsidR="00FF5EAC">
        <w:rPr>
          <w:rFonts w:ascii="Baskerville Old Face" w:hAnsi="Baskerville Old Face"/>
          <w:sz w:val="23"/>
          <w:szCs w:val="23"/>
        </w:rPr>
        <w:t>ST</w:t>
      </w:r>
      <w:r w:rsidRPr="00F64162">
        <w:rPr>
          <w:rFonts w:ascii="Baskerville Old Face" w:hAnsi="Baskerville Old Face"/>
          <w:sz w:val="23"/>
          <w:szCs w:val="23"/>
        </w:rPr>
        <w:t>.</w:t>
      </w:r>
      <w:r w:rsidR="00F64162" w:rsidRPr="00F64162">
        <w:rPr>
          <w:rFonts w:ascii="Baskerville Old Face" w:hAnsi="Baskerville Old Face"/>
          <w:sz w:val="23"/>
          <w:szCs w:val="23"/>
        </w:rPr>
        <w:t>11-12.</w:t>
      </w:r>
      <w:r w:rsidRPr="00F64162">
        <w:rPr>
          <w:rFonts w:ascii="Baskerville Old Face" w:hAnsi="Baskerville Old Face"/>
          <w:sz w:val="23"/>
          <w:szCs w:val="23"/>
        </w:rPr>
        <w:t>8, RH</w:t>
      </w:r>
      <w:r w:rsidR="00FF5EAC">
        <w:rPr>
          <w:rFonts w:ascii="Baskerville Old Face" w:hAnsi="Baskerville Old Face"/>
          <w:sz w:val="23"/>
          <w:szCs w:val="23"/>
        </w:rPr>
        <w:t>ST</w:t>
      </w:r>
      <w:r w:rsidRPr="00F64162">
        <w:rPr>
          <w:rFonts w:ascii="Baskerville Old Face" w:hAnsi="Baskerville Old Face"/>
          <w:sz w:val="23"/>
          <w:szCs w:val="23"/>
        </w:rPr>
        <w:t>.</w:t>
      </w:r>
      <w:r w:rsidR="00F64162" w:rsidRPr="00F64162">
        <w:rPr>
          <w:rFonts w:ascii="Baskerville Old Face" w:hAnsi="Baskerville Old Face"/>
          <w:sz w:val="23"/>
          <w:szCs w:val="23"/>
        </w:rPr>
        <w:t>11-12.</w:t>
      </w:r>
      <w:r w:rsidRPr="00F64162">
        <w:rPr>
          <w:rFonts w:ascii="Baskerville Old Face" w:hAnsi="Baskerville Old Face"/>
          <w:sz w:val="23"/>
          <w:szCs w:val="23"/>
        </w:rPr>
        <w:t>10</w:t>
      </w:r>
      <w:r w:rsidR="001F6254" w:rsidRPr="00F64162">
        <w:rPr>
          <w:rFonts w:ascii="Baskerville Old Face" w:hAnsi="Baskerville Old Face"/>
          <w:sz w:val="23"/>
          <w:szCs w:val="23"/>
        </w:rPr>
        <w:t>, WH</w:t>
      </w:r>
      <w:r w:rsidR="00FF5EAC">
        <w:rPr>
          <w:rFonts w:ascii="Baskerville Old Face" w:hAnsi="Baskerville Old Face"/>
          <w:sz w:val="23"/>
          <w:szCs w:val="23"/>
        </w:rPr>
        <w:t>ST</w:t>
      </w:r>
      <w:r w:rsidR="00F64162" w:rsidRPr="00F64162">
        <w:rPr>
          <w:rFonts w:ascii="Baskerville Old Face" w:hAnsi="Baskerville Old Face"/>
          <w:sz w:val="23"/>
          <w:szCs w:val="23"/>
        </w:rPr>
        <w:t>.11-12</w:t>
      </w:r>
      <w:r w:rsidR="00FF5EAC">
        <w:rPr>
          <w:rFonts w:ascii="Baskerville Old Face" w:hAnsi="Baskerville Old Face"/>
          <w:sz w:val="23"/>
          <w:szCs w:val="23"/>
        </w:rPr>
        <w:t>.2</w:t>
      </w:r>
      <w:r w:rsidR="001F6254" w:rsidRPr="00F64162">
        <w:rPr>
          <w:rFonts w:ascii="Baskerville Old Face" w:hAnsi="Baskerville Old Face"/>
          <w:sz w:val="23"/>
          <w:szCs w:val="23"/>
        </w:rPr>
        <w:t xml:space="preserve">, </w:t>
      </w:r>
      <w:r w:rsidR="00FF5EAC">
        <w:rPr>
          <w:rFonts w:ascii="Baskerville Old Face" w:hAnsi="Baskerville Old Face"/>
          <w:sz w:val="23"/>
          <w:szCs w:val="23"/>
        </w:rPr>
        <w:t xml:space="preserve">WHST.11-12.4, </w:t>
      </w:r>
      <w:r w:rsidR="001F6254" w:rsidRPr="00F64162">
        <w:rPr>
          <w:rFonts w:ascii="Baskerville Old Face" w:hAnsi="Baskerville Old Face"/>
          <w:sz w:val="23"/>
          <w:szCs w:val="23"/>
        </w:rPr>
        <w:t>WH</w:t>
      </w:r>
      <w:r w:rsidR="00FF5EAC">
        <w:rPr>
          <w:rFonts w:ascii="Baskerville Old Face" w:hAnsi="Baskerville Old Face"/>
          <w:sz w:val="23"/>
          <w:szCs w:val="23"/>
        </w:rPr>
        <w:t>ST</w:t>
      </w:r>
      <w:r w:rsidR="001F6254" w:rsidRPr="00F64162">
        <w:rPr>
          <w:rFonts w:ascii="Baskerville Old Face" w:hAnsi="Baskerville Old Face"/>
          <w:sz w:val="23"/>
          <w:szCs w:val="23"/>
        </w:rPr>
        <w:t>.</w:t>
      </w:r>
      <w:r w:rsidR="00F64162" w:rsidRPr="00F64162">
        <w:rPr>
          <w:rFonts w:ascii="Baskerville Old Face" w:hAnsi="Baskerville Old Face"/>
          <w:sz w:val="23"/>
          <w:szCs w:val="23"/>
        </w:rPr>
        <w:t>11-12.</w:t>
      </w:r>
      <w:r w:rsidR="00FF5EAC">
        <w:rPr>
          <w:rFonts w:ascii="Baskerville Old Face" w:hAnsi="Baskerville Old Face"/>
          <w:sz w:val="23"/>
          <w:szCs w:val="23"/>
        </w:rPr>
        <w:t xml:space="preserve">9; </w:t>
      </w:r>
      <w:r w:rsidR="001F6254" w:rsidRPr="00F64162">
        <w:rPr>
          <w:rFonts w:ascii="Baskerville Old Face" w:hAnsi="Baskerville Old Face"/>
          <w:sz w:val="23"/>
          <w:szCs w:val="23"/>
        </w:rPr>
        <w:t>SL.</w:t>
      </w:r>
      <w:r w:rsidR="00F64162" w:rsidRPr="00F64162">
        <w:rPr>
          <w:rFonts w:ascii="Baskerville Old Face" w:hAnsi="Baskerville Old Face"/>
          <w:sz w:val="23"/>
          <w:szCs w:val="23"/>
        </w:rPr>
        <w:t>11-12.</w:t>
      </w:r>
      <w:r w:rsidR="001F6254" w:rsidRPr="00F64162">
        <w:rPr>
          <w:rFonts w:ascii="Baskerville Old Face" w:hAnsi="Baskerville Old Face"/>
          <w:sz w:val="23"/>
          <w:szCs w:val="23"/>
        </w:rPr>
        <w:t>1</w:t>
      </w:r>
      <w:r w:rsidR="00FF5EAC">
        <w:rPr>
          <w:rFonts w:ascii="Baskerville Old Face" w:hAnsi="Baskerville Old Face"/>
          <w:sz w:val="23"/>
          <w:szCs w:val="23"/>
        </w:rPr>
        <w:t>; L.11-12.1, L.11-12.2</w:t>
      </w:r>
      <w:r w:rsidR="00F64162" w:rsidRPr="00F64162">
        <w:rPr>
          <w:rFonts w:ascii="Baskerville Old Face" w:hAnsi="Baskerville Old Face"/>
          <w:sz w:val="23"/>
          <w:szCs w:val="23"/>
        </w:rPr>
        <w:t xml:space="preserve"> </w:t>
      </w:r>
    </w:p>
    <w:p w14:paraId="71247DED" w14:textId="77777777" w:rsidR="008F246B" w:rsidRDefault="008F246B" w:rsidP="002B5A1D">
      <w:pPr>
        <w:suppressLineNumbers/>
        <w:rPr>
          <w:rFonts w:ascii="Baskerville Old Face" w:hAnsi="Baskerville Old Face"/>
          <w:sz w:val="24"/>
          <w:szCs w:val="24"/>
        </w:rPr>
      </w:pPr>
      <w:r>
        <w:rPr>
          <w:rFonts w:ascii="Baskerville Old Face" w:hAnsi="Baskerville Old Face"/>
          <w:sz w:val="24"/>
          <w:szCs w:val="24"/>
        </w:rPr>
        <w:t>Objectives: SWBAT – 1) Analyze a complex text and derive meaning from it while discussing the merits of the arguments presented</w:t>
      </w:r>
      <w:r w:rsidR="00F64162">
        <w:rPr>
          <w:rFonts w:ascii="Baskerville Old Face" w:hAnsi="Baskerville Old Face"/>
          <w:sz w:val="24"/>
          <w:szCs w:val="24"/>
        </w:rPr>
        <w:t xml:space="preserve"> with their peers and teacher</w:t>
      </w:r>
      <w:r>
        <w:rPr>
          <w:rFonts w:ascii="Baskerville Old Face" w:hAnsi="Baskerville Old Face"/>
          <w:sz w:val="24"/>
          <w:szCs w:val="24"/>
        </w:rPr>
        <w:t>. 2) Discuss with peers the implicit and explicit meanings of words, phrases, and sections of the text. 3) Be able to explain the differing viewpoints of Justices in this case on ways to interpret the constitution. 4) Conduct a short research project stemming from this reading.</w:t>
      </w:r>
    </w:p>
    <w:p w14:paraId="1FFFEA74" w14:textId="77777777" w:rsidR="00F64162" w:rsidRDefault="00F64162" w:rsidP="002B5A1D">
      <w:pPr>
        <w:suppressLineNumbers/>
        <w:rPr>
          <w:rFonts w:ascii="Baskerville Old Face" w:hAnsi="Baskerville Old Face"/>
          <w:sz w:val="24"/>
          <w:szCs w:val="24"/>
        </w:rPr>
      </w:pPr>
    </w:p>
    <w:p w14:paraId="37D239A2" w14:textId="77777777" w:rsidR="00F64162" w:rsidRDefault="00F64162" w:rsidP="002B5A1D">
      <w:pPr>
        <w:suppressLineNumbers/>
        <w:rPr>
          <w:rFonts w:ascii="Baskerville Old Face" w:hAnsi="Baskerville Old Face"/>
          <w:sz w:val="24"/>
          <w:szCs w:val="24"/>
        </w:rPr>
      </w:pPr>
    </w:p>
    <w:p w14:paraId="16F9DF5C" w14:textId="77777777" w:rsidR="00F64162" w:rsidRPr="00094FDC" w:rsidRDefault="00F64162" w:rsidP="002B5A1D">
      <w:pPr>
        <w:suppressLineNumbers/>
        <w:rPr>
          <w:rFonts w:ascii="Baskerville Old Face" w:hAnsi="Baskerville Old Face"/>
          <w:sz w:val="24"/>
          <w:szCs w:val="24"/>
        </w:rPr>
      </w:pPr>
    </w:p>
    <w:tbl>
      <w:tblPr>
        <w:tblStyle w:val="TableGrid"/>
        <w:tblW w:w="0" w:type="auto"/>
        <w:tblLook w:val="04A0" w:firstRow="1" w:lastRow="0" w:firstColumn="1" w:lastColumn="0" w:noHBand="0" w:noVBand="1"/>
      </w:tblPr>
      <w:tblGrid>
        <w:gridCol w:w="3078"/>
        <w:gridCol w:w="10818"/>
      </w:tblGrid>
      <w:tr w:rsidR="002B5A1D" w14:paraId="64F281CD" w14:textId="77777777" w:rsidTr="00A12577">
        <w:trPr>
          <w:tblHeader/>
        </w:trPr>
        <w:tc>
          <w:tcPr>
            <w:tcW w:w="3078" w:type="dxa"/>
            <w:shd w:val="clear" w:color="auto" w:fill="000000" w:themeFill="text1"/>
          </w:tcPr>
          <w:p w14:paraId="0AFA884B" w14:textId="77777777" w:rsidR="002B5A1D" w:rsidRPr="00594DCD" w:rsidRDefault="00A12577" w:rsidP="007134E4">
            <w:pPr>
              <w:jc w:val="center"/>
              <w:rPr>
                <w:rFonts w:ascii="Baskerville Old Face" w:hAnsi="Baskerville Old Face"/>
                <w:sz w:val="28"/>
                <w:szCs w:val="28"/>
              </w:rPr>
            </w:pPr>
            <w:r>
              <w:rPr>
                <w:rFonts w:ascii="Baskerville Old Face" w:hAnsi="Baskerville Old Face"/>
                <w:sz w:val="28"/>
                <w:szCs w:val="28"/>
              </w:rPr>
              <w:t>Text Dependent Questions</w:t>
            </w:r>
          </w:p>
          <w:p w14:paraId="484B5DBE" w14:textId="77777777" w:rsidR="002B5A1D" w:rsidRPr="00594DCD" w:rsidRDefault="002B5A1D" w:rsidP="007134E4">
            <w:pPr>
              <w:jc w:val="center"/>
              <w:rPr>
                <w:rFonts w:ascii="Baskerville Old Face" w:hAnsi="Baskerville Old Face"/>
                <w:sz w:val="28"/>
                <w:szCs w:val="28"/>
              </w:rPr>
            </w:pPr>
          </w:p>
        </w:tc>
        <w:tc>
          <w:tcPr>
            <w:tcW w:w="10818" w:type="dxa"/>
            <w:shd w:val="clear" w:color="auto" w:fill="000000" w:themeFill="text1"/>
          </w:tcPr>
          <w:p w14:paraId="0E581A38" w14:textId="77777777" w:rsidR="002B5A1D" w:rsidRPr="00594DCD" w:rsidRDefault="004E1077" w:rsidP="007134E4">
            <w:pPr>
              <w:jc w:val="center"/>
              <w:rPr>
                <w:rFonts w:ascii="Baskerville Old Face" w:hAnsi="Baskerville Old Face"/>
                <w:sz w:val="28"/>
                <w:szCs w:val="28"/>
              </w:rPr>
            </w:pPr>
            <w:r>
              <w:rPr>
                <w:rFonts w:ascii="Baskerville Old Face" w:hAnsi="Baskerville Old Face"/>
                <w:sz w:val="28"/>
                <w:szCs w:val="28"/>
              </w:rPr>
              <w:t>Possible Answers and Textual Evidence</w:t>
            </w:r>
          </w:p>
        </w:tc>
      </w:tr>
      <w:tr w:rsidR="00CD79D3" w14:paraId="2DD04CBD" w14:textId="77777777" w:rsidTr="007134E4">
        <w:trPr>
          <w:trHeight w:val="1506"/>
        </w:trPr>
        <w:tc>
          <w:tcPr>
            <w:tcW w:w="13896" w:type="dxa"/>
            <w:gridSpan w:val="2"/>
          </w:tcPr>
          <w:p w14:paraId="466A7CCC" w14:textId="77777777" w:rsidR="00CD79D3" w:rsidRDefault="00CD79D3" w:rsidP="007134E4">
            <w:pPr>
              <w:rPr>
                <w:rFonts w:ascii="Baskerville Old Face" w:hAnsi="Baskerville Old Face"/>
                <w:i/>
              </w:rPr>
            </w:pPr>
            <w:r>
              <w:rPr>
                <w:rFonts w:ascii="Baskerville Old Face" w:hAnsi="Baskerville Old Face"/>
                <w:i/>
              </w:rPr>
              <w:t>Teacher note: This text may be especially difficult for some language learners.  Based on the knowledge of your students, think about the following:</w:t>
            </w:r>
          </w:p>
          <w:p w14:paraId="7E428A74" w14:textId="77777777" w:rsidR="00270662" w:rsidRPr="00270662" w:rsidRDefault="00270662" w:rsidP="00270662">
            <w:pPr>
              <w:pStyle w:val="ListParagraph"/>
              <w:numPr>
                <w:ilvl w:val="0"/>
                <w:numId w:val="7"/>
              </w:numPr>
              <w:rPr>
                <w:rFonts w:ascii="Baskerville Old Face" w:hAnsi="Baskerville Old Face"/>
              </w:rPr>
            </w:pPr>
            <w:r>
              <w:rPr>
                <w:rFonts w:ascii="Baskerville Old Face" w:hAnsi="Baskerville Old Face"/>
              </w:rPr>
              <w:t>Allow students an opportunity to hear the text read aloud by a fluent reader (support teacher, yourself, a recording of you</w:t>
            </w:r>
            <w:r w:rsidR="0088072E">
              <w:rPr>
                <w:rFonts w:ascii="Baskerville Old Face" w:hAnsi="Baskerville Old Face"/>
              </w:rPr>
              <w:t xml:space="preserve"> reading</w:t>
            </w:r>
            <w:r>
              <w:rPr>
                <w:rFonts w:ascii="Baskerville Old Face" w:hAnsi="Baskerville Old Face"/>
              </w:rPr>
              <w:t>) a day or two before class.</w:t>
            </w:r>
          </w:p>
          <w:p w14:paraId="59C67701" w14:textId="77777777" w:rsidR="00CD79D3" w:rsidRPr="00270662" w:rsidRDefault="00CD79D3" w:rsidP="00270662">
            <w:pPr>
              <w:pStyle w:val="ListParagraph"/>
              <w:numPr>
                <w:ilvl w:val="0"/>
                <w:numId w:val="7"/>
              </w:numPr>
              <w:rPr>
                <w:rFonts w:ascii="Baskerville Old Face" w:hAnsi="Baskerville Old Face"/>
              </w:rPr>
            </w:pPr>
            <w:r w:rsidRPr="00270662">
              <w:rPr>
                <w:rFonts w:ascii="Baskerville Old Face" w:hAnsi="Baskerville Old Face"/>
              </w:rPr>
              <w:t>C</w:t>
            </w:r>
            <w:r w:rsidR="00270662">
              <w:rPr>
                <w:rFonts w:ascii="Baskerville Old Face" w:hAnsi="Baskerville Old Face"/>
              </w:rPr>
              <w:t>onsider making certain c</w:t>
            </w:r>
            <w:r w:rsidRPr="00270662">
              <w:rPr>
                <w:rFonts w:ascii="Baskerville Old Face" w:hAnsi="Baskerville Old Face"/>
              </w:rPr>
              <w:t xml:space="preserve">ognates </w:t>
            </w:r>
            <w:r w:rsidR="00270662">
              <w:rPr>
                <w:rFonts w:ascii="Baskerville Old Face" w:hAnsi="Baskerville Old Face"/>
              </w:rPr>
              <w:t>for English/Spanish words transparent for students.  Some examples from this text include</w:t>
            </w:r>
            <w:r w:rsidRPr="00270662">
              <w:rPr>
                <w:rFonts w:ascii="Baskerville Old Face" w:hAnsi="Baskerville Old Face"/>
              </w:rPr>
              <w:t>: conception (line 7)/</w:t>
            </w:r>
            <w:proofErr w:type="spellStart"/>
            <w:r w:rsidRPr="00270662">
              <w:rPr>
                <w:rFonts w:ascii="Baskerville Old Face" w:hAnsi="Baskerville Old Face"/>
              </w:rPr>
              <w:t>concepción</w:t>
            </w:r>
            <w:proofErr w:type="spellEnd"/>
            <w:r w:rsidRPr="00270662">
              <w:rPr>
                <w:rFonts w:ascii="Baskerville Old Face" w:hAnsi="Baskerville Old Face"/>
              </w:rPr>
              <w:t>; association (lines 9</w:t>
            </w:r>
            <w:r w:rsidR="00562E8B" w:rsidRPr="00270662">
              <w:rPr>
                <w:rFonts w:ascii="Baskerville Old Face" w:hAnsi="Baskerville Old Face"/>
              </w:rPr>
              <w:t>, 22, 24, 29, etc.)/</w:t>
            </w:r>
            <w:proofErr w:type="spellStart"/>
            <w:r w:rsidR="00562E8B" w:rsidRPr="00270662">
              <w:rPr>
                <w:rFonts w:ascii="Baskerville Old Face" w:hAnsi="Baskerville Old Face"/>
              </w:rPr>
              <w:t>asociacion</w:t>
            </w:r>
            <w:proofErr w:type="spellEnd"/>
            <w:r w:rsidR="00270662">
              <w:rPr>
                <w:rFonts w:ascii="Baskerville Old Face" w:hAnsi="Baskerville Old Face"/>
              </w:rPr>
              <w:t xml:space="preserve">; </w:t>
            </w:r>
            <w:r w:rsidR="0088072E">
              <w:rPr>
                <w:rFonts w:ascii="Baskerville Old Face" w:hAnsi="Baskerville Old Face"/>
              </w:rPr>
              <w:t xml:space="preserve">and </w:t>
            </w:r>
            <w:r w:rsidR="00427E0B">
              <w:rPr>
                <w:rFonts w:ascii="Baskerville Old Face" w:hAnsi="Baskerville Old Face"/>
              </w:rPr>
              <w:t>secure (lines 17, 33)/</w:t>
            </w:r>
            <w:proofErr w:type="spellStart"/>
            <w:r w:rsidR="00427E0B">
              <w:rPr>
                <w:rFonts w:ascii="Baskerville Old Face" w:hAnsi="Baskerville Old Face"/>
              </w:rPr>
              <w:t>seguro</w:t>
            </w:r>
            <w:proofErr w:type="spellEnd"/>
            <w:r w:rsidR="0088072E">
              <w:rPr>
                <w:rFonts w:ascii="Baskerville Old Face" w:hAnsi="Baskerville Old Face"/>
              </w:rPr>
              <w:t xml:space="preserve">. Note that “opinion” is a false cognate, because a judicial opinion in Spanish is </w:t>
            </w:r>
            <w:proofErr w:type="spellStart"/>
            <w:r w:rsidR="0088072E">
              <w:rPr>
                <w:rFonts w:ascii="Baskerville Old Face" w:hAnsi="Baskerville Old Face"/>
              </w:rPr>
              <w:t>verdicto</w:t>
            </w:r>
            <w:proofErr w:type="spellEnd"/>
            <w:r w:rsidR="0088072E">
              <w:rPr>
                <w:rFonts w:ascii="Baskerville Old Face" w:hAnsi="Baskerville Old Face"/>
              </w:rPr>
              <w:t xml:space="preserve">. </w:t>
            </w:r>
          </w:p>
        </w:tc>
      </w:tr>
      <w:tr w:rsidR="002B5A1D" w14:paraId="15F1ECD2" w14:textId="77777777" w:rsidTr="00A12577">
        <w:trPr>
          <w:trHeight w:val="1506"/>
        </w:trPr>
        <w:tc>
          <w:tcPr>
            <w:tcW w:w="3078" w:type="dxa"/>
          </w:tcPr>
          <w:p w14:paraId="2B1CAD4D" w14:textId="77777777" w:rsidR="002B5A1D" w:rsidRDefault="002B5A1D" w:rsidP="007134E4">
            <w:pPr>
              <w:rPr>
                <w:rFonts w:ascii="Baskerville Old Face" w:hAnsi="Baskerville Old Face"/>
              </w:rPr>
            </w:pPr>
          </w:p>
          <w:p w14:paraId="0631371F" w14:textId="77777777" w:rsidR="002B5A1D" w:rsidRDefault="001A6C8A" w:rsidP="007134E4">
            <w:pPr>
              <w:rPr>
                <w:rFonts w:ascii="Baskerville Old Face" w:hAnsi="Baskerville Old Face"/>
              </w:rPr>
            </w:pPr>
            <w:r>
              <w:rPr>
                <w:rFonts w:ascii="Baskerville Old Face" w:hAnsi="Baskerville Old Face"/>
              </w:rPr>
              <w:t>What do you learn about this text from lines 1-8?</w:t>
            </w:r>
          </w:p>
          <w:p w14:paraId="291C5311" w14:textId="77777777" w:rsidR="002B5A1D" w:rsidRDefault="002B5A1D" w:rsidP="007134E4">
            <w:pPr>
              <w:rPr>
                <w:rFonts w:ascii="Baskerville Old Face" w:hAnsi="Baskerville Old Face"/>
              </w:rPr>
            </w:pPr>
          </w:p>
          <w:p w14:paraId="3EAB6C7F" w14:textId="77777777" w:rsidR="002B5A1D" w:rsidRDefault="002B5A1D" w:rsidP="007134E4">
            <w:pPr>
              <w:rPr>
                <w:rFonts w:ascii="Baskerville Old Face" w:hAnsi="Baskerville Old Face"/>
              </w:rPr>
            </w:pPr>
          </w:p>
        </w:tc>
        <w:tc>
          <w:tcPr>
            <w:tcW w:w="10818" w:type="dxa"/>
          </w:tcPr>
          <w:p w14:paraId="516E1C40" w14:textId="77777777" w:rsidR="002B5A1D" w:rsidRDefault="002B5A1D" w:rsidP="007134E4">
            <w:pPr>
              <w:rPr>
                <w:rFonts w:ascii="Baskerville Old Face" w:hAnsi="Baskerville Old Face"/>
              </w:rPr>
            </w:pPr>
          </w:p>
          <w:p w14:paraId="083EB478" w14:textId="77777777" w:rsidR="002B5A1D" w:rsidRDefault="001A6C8A" w:rsidP="007134E4">
            <w:pPr>
              <w:rPr>
                <w:rFonts w:ascii="Baskerville Old Face" w:hAnsi="Baskerville Old Face"/>
              </w:rPr>
            </w:pPr>
            <w:r>
              <w:rPr>
                <w:rFonts w:ascii="Baskerville Old Face" w:hAnsi="Baskerville Old Face"/>
              </w:rPr>
              <w:t xml:space="preserve">This is an orientation to the document. </w:t>
            </w:r>
            <w:r w:rsidR="00857F48">
              <w:rPr>
                <w:rFonts w:ascii="Baskerville Old Face" w:hAnsi="Baskerville Old Face"/>
              </w:rPr>
              <w:t xml:space="preserve">It establishes the date (1965).  The author is Justice Douglas. </w:t>
            </w:r>
            <w:r>
              <w:rPr>
                <w:rFonts w:ascii="Baskerville Old Face" w:hAnsi="Baskerville Old Face"/>
              </w:rPr>
              <w:t>Students should note that it is a court case between a people (Griswold and Buxton) and a state (Connecticut).</w:t>
            </w:r>
            <w:r w:rsidR="00BA3EEC">
              <w:rPr>
                <w:rFonts w:ascii="Baskerville Old Face" w:hAnsi="Baskerville Old Face"/>
              </w:rPr>
              <w:t xml:space="preserve">  Each of the appellants’ occupations is listed to demonstrate their standing to bring the issue for their clients, married people who want to prevent conception.</w:t>
            </w:r>
            <w:r>
              <w:rPr>
                <w:rFonts w:ascii="Baskerville Old Face" w:hAnsi="Baskerville Old Face"/>
              </w:rPr>
              <w:t xml:space="preserve">  </w:t>
            </w:r>
            <w:r w:rsidR="00BA3EEC">
              <w:rPr>
                <w:rFonts w:ascii="Baskerville Old Face" w:hAnsi="Baskerville Old Face"/>
              </w:rPr>
              <w:t xml:space="preserve">  </w:t>
            </w:r>
          </w:p>
          <w:p w14:paraId="689E24AD" w14:textId="77777777" w:rsidR="002B5A1D" w:rsidRDefault="002B5A1D" w:rsidP="007134E4">
            <w:pPr>
              <w:rPr>
                <w:rFonts w:ascii="Baskerville Old Face" w:hAnsi="Baskerville Old Face"/>
              </w:rPr>
            </w:pPr>
          </w:p>
        </w:tc>
      </w:tr>
      <w:tr w:rsidR="00953DB2" w14:paraId="770D4A99" w14:textId="77777777" w:rsidTr="00A12577">
        <w:trPr>
          <w:trHeight w:val="1052"/>
        </w:trPr>
        <w:tc>
          <w:tcPr>
            <w:tcW w:w="13896" w:type="dxa"/>
            <w:gridSpan w:val="2"/>
          </w:tcPr>
          <w:p w14:paraId="7D17044F" w14:textId="77777777" w:rsidR="00953DB2" w:rsidRPr="00A12577" w:rsidRDefault="00E61D50" w:rsidP="007134E4">
            <w:pPr>
              <w:rPr>
                <w:rFonts w:ascii="Baskerville Old Face" w:hAnsi="Baskerville Old Face"/>
                <w:i/>
              </w:rPr>
            </w:pPr>
            <w:r>
              <w:rPr>
                <w:rFonts w:ascii="Baskerville Old Face" w:hAnsi="Baskerville Old Face"/>
                <w:i/>
              </w:rPr>
              <w:t xml:space="preserve">Teacher note: </w:t>
            </w:r>
            <w:r w:rsidR="00953DB2" w:rsidRPr="00A12577">
              <w:rPr>
                <w:rFonts w:ascii="Baskerville Old Face" w:hAnsi="Baskerville Old Face"/>
                <w:i/>
              </w:rPr>
              <w:t>The answers to the following questions can be drawn from large areas of the Justices’ arguments.  They do not necessarily focus only on specific paragraphs from the text.  Use your professional judgment in determining if students have answered one of the later questions while addressing an earlier one.  Also, bring attention to the logical progression of ideas so often used in Supreme Court opinions.  For instance, Justice Douglas cannot go straight to the zone of privacy aspect of his argument without first outlining the precedents for penumbras.</w:t>
            </w:r>
          </w:p>
        </w:tc>
      </w:tr>
      <w:tr w:rsidR="002B5A1D" w14:paraId="581D037C" w14:textId="77777777" w:rsidTr="00A12577">
        <w:trPr>
          <w:trHeight w:val="638"/>
        </w:trPr>
        <w:tc>
          <w:tcPr>
            <w:tcW w:w="3078" w:type="dxa"/>
          </w:tcPr>
          <w:p w14:paraId="53F3D22E" w14:textId="77777777" w:rsidR="002B5A1D" w:rsidRDefault="002B5A1D" w:rsidP="007134E4">
            <w:pPr>
              <w:rPr>
                <w:rFonts w:ascii="Baskerville Old Face" w:hAnsi="Baskerville Old Face"/>
              </w:rPr>
            </w:pPr>
          </w:p>
          <w:p w14:paraId="4BD31FA1" w14:textId="77777777" w:rsidR="002B5A1D" w:rsidRDefault="002B5A1D" w:rsidP="007134E4">
            <w:pPr>
              <w:rPr>
                <w:rFonts w:ascii="Baskerville Old Face" w:hAnsi="Baskerville Old Face"/>
              </w:rPr>
            </w:pPr>
          </w:p>
          <w:p w14:paraId="7D71330F" w14:textId="77777777" w:rsidR="002B5A1D" w:rsidRDefault="00857F48" w:rsidP="007134E4">
            <w:pPr>
              <w:rPr>
                <w:rFonts w:ascii="Baskerville Old Face" w:hAnsi="Baskerville Old Face"/>
              </w:rPr>
            </w:pPr>
            <w:r>
              <w:rPr>
                <w:rFonts w:ascii="Baskerville Old Face" w:hAnsi="Baskerville Old Face"/>
              </w:rPr>
              <w:t>Justice Douglas states that the “First Amendment has been construed to include certain” rights.  W</w:t>
            </w:r>
            <w:r w:rsidR="00287926">
              <w:rPr>
                <w:rFonts w:ascii="Baskerville Old Face" w:hAnsi="Baskerville Old Face"/>
              </w:rPr>
              <w:t xml:space="preserve">hich rights does he mention?  </w:t>
            </w:r>
          </w:p>
          <w:p w14:paraId="7AC0C2E7" w14:textId="77777777" w:rsidR="00287926" w:rsidRDefault="00287926" w:rsidP="007134E4">
            <w:pPr>
              <w:rPr>
                <w:rFonts w:ascii="Baskerville Old Face" w:hAnsi="Baskerville Old Face"/>
              </w:rPr>
            </w:pPr>
          </w:p>
          <w:p w14:paraId="50020CE1" w14:textId="77777777" w:rsidR="002B5A1D" w:rsidRDefault="00287926" w:rsidP="007134E4">
            <w:pPr>
              <w:rPr>
                <w:rFonts w:ascii="Baskerville Old Face" w:hAnsi="Baskerville Old Face"/>
              </w:rPr>
            </w:pPr>
            <w:r>
              <w:rPr>
                <w:rFonts w:ascii="Baskerville Old Face" w:hAnsi="Baskerville Old Face"/>
              </w:rPr>
              <w:t>What does the word “construed” tell us about the rights mentioned?</w:t>
            </w:r>
          </w:p>
        </w:tc>
        <w:tc>
          <w:tcPr>
            <w:tcW w:w="10818" w:type="dxa"/>
          </w:tcPr>
          <w:p w14:paraId="79B50267" w14:textId="77777777" w:rsidR="002B5A1D" w:rsidRDefault="00287926" w:rsidP="007134E4">
            <w:pPr>
              <w:rPr>
                <w:rFonts w:ascii="Baskerville Old Face" w:hAnsi="Baskerville Old Face"/>
              </w:rPr>
            </w:pPr>
            <w:r>
              <w:rPr>
                <w:rFonts w:ascii="Baskerville Old Face" w:hAnsi="Baskerville Old Face"/>
              </w:rPr>
              <w:t>The heart of the argument to follow is that there are already rights acknowledged by the courts that are not specifically mentioned in the Constitution.  It’s important that students understand this concept early in the piece.</w:t>
            </w:r>
          </w:p>
          <w:p w14:paraId="302A347C" w14:textId="77777777" w:rsidR="00287926" w:rsidRDefault="00287926" w:rsidP="00287926">
            <w:pPr>
              <w:pStyle w:val="ListParagraph"/>
              <w:numPr>
                <w:ilvl w:val="0"/>
                <w:numId w:val="1"/>
              </w:numPr>
              <w:rPr>
                <w:rFonts w:ascii="Baskerville Old Face" w:hAnsi="Baskerville Old Face"/>
              </w:rPr>
            </w:pPr>
            <w:r>
              <w:rPr>
                <w:rFonts w:ascii="Baskerville Old Face" w:hAnsi="Baskerville Old Face"/>
              </w:rPr>
              <w:t>Association of people</w:t>
            </w:r>
          </w:p>
          <w:p w14:paraId="5E2C57AE" w14:textId="77777777" w:rsidR="00287926" w:rsidRDefault="00287926" w:rsidP="00287926">
            <w:pPr>
              <w:pStyle w:val="ListParagraph"/>
              <w:numPr>
                <w:ilvl w:val="0"/>
                <w:numId w:val="1"/>
              </w:numPr>
              <w:rPr>
                <w:rFonts w:ascii="Baskerville Old Face" w:hAnsi="Baskerville Old Face"/>
              </w:rPr>
            </w:pPr>
            <w:r>
              <w:rPr>
                <w:rFonts w:ascii="Baskerville Old Face" w:hAnsi="Baskerville Old Face"/>
              </w:rPr>
              <w:t>Right to educate a child in a school of the parents’ choice</w:t>
            </w:r>
          </w:p>
          <w:p w14:paraId="662C97DC" w14:textId="77777777" w:rsidR="00287926" w:rsidRPr="00287926" w:rsidRDefault="00287926" w:rsidP="00287926">
            <w:pPr>
              <w:pStyle w:val="ListParagraph"/>
              <w:numPr>
                <w:ilvl w:val="0"/>
                <w:numId w:val="1"/>
              </w:numPr>
              <w:rPr>
                <w:rFonts w:ascii="Baskerville Old Face" w:hAnsi="Baskerville Old Face"/>
              </w:rPr>
            </w:pPr>
            <w:r>
              <w:rPr>
                <w:rFonts w:ascii="Baskerville Old Face" w:hAnsi="Baskerville Old Face"/>
              </w:rPr>
              <w:t>Study particular subjects or languages</w:t>
            </w:r>
          </w:p>
          <w:p w14:paraId="57CAB11B" w14:textId="77777777" w:rsidR="002B5A1D" w:rsidRPr="00665DB9" w:rsidRDefault="00287926" w:rsidP="007134E4">
            <w:pPr>
              <w:rPr>
                <w:rFonts w:ascii="Baskerville Old Face" w:hAnsi="Baskerville Old Face"/>
                <w:i/>
              </w:rPr>
            </w:pPr>
            <w:r w:rsidRPr="00665DB9">
              <w:rPr>
                <w:rFonts w:ascii="Baskerville Old Face" w:hAnsi="Baskerville Old Face"/>
                <w:i/>
              </w:rPr>
              <w:t>Students might also mention rights listed further in the document including:</w:t>
            </w:r>
          </w:p>
          <w:p w14:paraId="15F93F04" w14:textId="77777777" w:rsidR="00287926" w:rsidRPr="00665DB9" w:rsidRDefault="00287926" w:rsidP="00287926">
            <w:pPr>
              <w:pStyle w:val="ListParagraph"/>
              <w:numPr>
                <w:ilvl w:val="0"/>
                <w:numId w:val="2"/>
              </w:numPr>
              <w:rPr>
                <w:rFonts w:ascii="Baskerville Old Face" w:hAnsi="Baskerville Old Face"/>
                <w:i/>
              </w:rPr>
            </w:pPr>
            <w:r w:rsidRPr="00665DB9">
              <w:rPr>
                <w:rFonts w:ascii="Baskerville Old Face" w:hAnsi="Baskerville Old Face"/>
                <w:i/>
              </w:rPr>
              <w:t>Right to distribute, receive, read</w:t>
            </w:r>
          </w:p>
          <w:p w14:paraId="15F326A4" w14:textId="77777777" w:rsidR="00287926" w:rsidRPr="00665DB9" w:rsidRDefault="00287926" w:rsidP="00287926">
            <w:pPr>
              <w:pStyle w:val="ListParagraph"/>
              <w:numPr>
                <w:ilvl w:val="0"/>
                <w:numId w:val="2"/>
              </w:numPr>
              <w:rPr>
                <w:rFonts w:ascii="Baskerville Old Face" w:hAnsi="Baskerville Old Face"/>
                <w:i/>
              </w:rPr>
            </w:pPr>
            <w:r w:rsidRPr="00665DB9">
              <w:rPr>
                <w:rFonts w:ascii="Baskerville Old Face" w:hAnsi="Baskerville Old Face"/>
                <w:i/>
              </w:rPr>
              <w:t>Freedom of inquiry, thought, to teach</w:t>
            </w:r>
          </w:p>
          <w:p w14:paraId="2C1E1F2C" w14:textId="77777777" w:rsidR="00287926" w:rsidRPr="00665DB9" w:rsidRDefault="00287926" w:rsidP="00287926">
            <w:pPr>
              <w:pStyle w:val="ListParagraph"/>
              <w:numPr>
                <w:ilvl w:val="0"/>
                <w:numId w:val="2"/>
              </w:numPr>
              <w:rPr>
                <w:rFonts w:ascii="Baskerville Old Face" w:hAnsi="Baskerville Old Face"/>
                <w:i/>
              </w:rPr>
            </w:pPr>
            <w:r w:rsidRPr="00665DB9">
              <w:rPr>
                <w:rFonts w:ascii="Baskerville Old Face" w:hAnsi="Baskerville Old Face"/>
                <w:i/>
              </w:rPr>
              <w:t>Right of belief and expression of attitudes</w:t>
            </w:r>
          </w:p>
          <w:p w14:paraId="1A9E9A4D" w14:textId="77777777" w:rsidR="00287926" w:rsidRPr="00665DB9" w:rsidRDefault="00287926" w:rsidP="00287926">
            <w:pPr>
              <w:pStyle w:val="ListParagraph"/>
              <w:numPr>
                <w:ilvl w:val="0"/>
                <w:numId w:val="2"/>
              </w:numPr>
              <w:rPr>
                <w:rFonts w:ascii="Baskerville Old Face" w:hAnsi="Baskerville Old Face"/>
                <w:i/>
              </w:rPr>
            </w:pPr>
            <w:r w:rsidRPr="00665DB9">
              <w:rPr>
                <w:rFonts w:ascii="Baskerville Old Face" w:hAnsi="Baskerville Old Face"/>
                <w:i/>
              </w:rPr>
              <w:t>Belonging to a group (association)</w:t>
            </w:r>
          </w:p>
          <w:p w14:paraId="5192421B" w14:textId="77777777" w:rsidR="00287926" w:rsidRPr="00665DB9" w:rsidRDefault="00287926" w:rsidP="00287926">
            <w:pPr>
              <w:rPr>
                <w:rFonts w:ascii="Baskerville Old Face" w:hAnsi="Baskerville Old Face"/>
                <w:i/>
              </w:rPr>
            </w:pPr>
            <w:r w:rsidRPr="00665DB9">
              <w:rPr>
                <w:rFonts w:ascii="Baskerville Old Face" w:hAnsi="Baskerville Old Face"/>
                <w:i/>
              </w:rPr>
              <w:t>The teacher should probe students further, though, if they begin to list the right of freedom of speech and press, as these are rights specifically listed in the Bill of Rights.</w:t>
            </w:r>
          </w:p>
          <w:p w14:paraId="72FEE03F" w14:textId="77777777" w:rsidR="00287926" w:rsidRDefault="00287926" w:rsidP="00287926">
            <w:pPr>
              <w:rPr>
                <w:rFonts w:ascii="Baskerville Old Face" w:hAnsi="Baskerville Old Face"/>
              </w:rPr>
            </w:pPr>
          </w:p>
          <w:p w14:paraId="36EDB3F1" w14:textId="77777777" w:rsidR="002B5A1D" w:rsidRDefault="00287926" w:rsidP="007134E4">
            <w:pPr>
              <w:rPr>
                <w:rFonts w:ascii="Baskerville Old Face" w:hAnsi="Baskerville Old Face"/>
              </w:rPr>
            </w:pPr>
            <w:r>
              <w:rPr>
                <w:rFonts w:ascii="Baskerville Old Face" w:hAnsi="Baskerville Old Face"/>
              </w:rPr>
              <w:t>The word construed is important, because the courts have had to “interpret” these rights as the language of the Constitution does not explicitly include them.</w:t>
            </w:r>
          </w:p>
        </w:tc>
      </w:tr>
      <w:tr w:rsidR="002B5A1D" w14:paraId="5265C47A" w14:textId="77777777" w:rsidTr="00B81173">
        <w:trPr>
          <w:trHeight w:val="1506"/>
        </w:trPr>
        <w:tc>
          <w:tcPr>
            <w:tcW w:w="3078" w:type="dxa"/>
            <w:vAlign w:val="center"/>
          </w:tcPr>
          <w:p w14:paraId="6C1B8B34" w14:textId="77777777" w:rsidR="002B5A1D" w:rsidRDefault="002B5A1D" w:rsidP="00B81173">
            <w:pPr>
              <w:rPr>
                <w:rFonts w:ascii="Baskerville Old Face" w:hAnsi="Baskerville Old Face"/>
              </w:rPr>
            </w:pPr>
          </w:p>
          <w:p w14:paraId="77B83DF4" w14:textId="77777777" w:rsidR="002B5A1D" w:rsidRDefault="00FE1D14" w:rsidP="00B81173">
            <w:pPr>
              <w:rPr>
                <w:rFonts w:ascii="Baskerville Old Face" w:hAnsi="Baskerville Old Face"/>
              </w:rPr>
            </w:pPr>
            <w:r>
              <w:rPr>
                <w:rFonts w:ascii="Baskerville Old Face" w:hAnsi="Baskerville Old Face"/>
              </w:rPr>
              <w:t xml:space="preserve">According to Justice Douglas, how do penumbras give “life and substance” to the </w:t>
            </w:r>
            <w:r w:rsidR="00B93657">
              <w:rPr>
                <w:rFonts w:ascii="Baskerville Old Face" w:hAnsi="Baskerville Old Face"/>
              </w:rPr>
              <w:t>explicitly stated</w:t>
            </w:r>
            <w:r>
              <w:rPr>
                <w:rFonts w:ascii="Baskerville Old Face" w:hAnsi="Baskerville Old Face"/>
              </w:rPr>
              <w:t xml:space="preserve"> rights? </w:t>
            </w:r>
          </w:p>
        </w:tc>
        <w:tc>
          <w:tcPr>
            <w:tcW w:w="10818" w:type="dxa"/>
            <w:vAlign w:val="center"/>
          </w:tcPr>
          <w:p w14:paraId="722DA16A" w14:textId="77777777" w:rsidR="002B5A1D" w:rsidRDefault="002B5A1D" w:rsidP="00B81173">
            <w:pPr>
              <w:rPr>
                <w:rFonts w:ascii="Baskerville Old Face" w:hAnsi="Baskerville Old Face"/>
              </w:rPr>
            </w:pPr>
          </w:p>
          <w:p w14:paraId="5B964F60" w14:textId="77777777" w:rsidR="002B5A1D" w:rsidRDefault="00B93657" w:rsidP="00B81173">
            <w:pPr>
              <w:rPr>
                <w:rFonts w:ascii="Baskerville Old Face" w:hAnsi="Baskerville Old Face"/>
              </w:rPr>
            </w:pPr>
            <w:r>
              <w:rPr>
                <w:rFonts w:ascii="Baskerville Old Face" w:hAnsi="Baskerville Old Face"/>
              </w:rPr>
              <w:t xml:space="preserve">There will likely be a range of answers.  These rights are “peripheral,” not “express,” but these rights are needed to make the others “secure” (line 17).  They will likely go back to NAACP v. Alabama </w:t>
            </w:r>
            <w:r w:rsidR="00A40299">
              <w:rPr>
                <w:rFonts w:ascii="Baskerville Old Face" w:hAnsi="Baskerville Old Face"/>
              </w:rPr>
              <w:t xml:space="preserve">(line 19) </w:t>
            </w:r>
            <w:r>
              <w:rPr>
                <w:rFonts w:ascii="Baskerville Old Face" w:hAnsi="Baskerville Old Face"/>
              </w:rPr>
              <w:t xml:space="preserve">where </w:t>
            </w:r>
            <w:r w:rsidR="00953DB2">
              <w:rPr>
                <w:rFonts w:ascii="Baskerville Old Face" w:hAnsi="Baskerville Old Face"/>
              </w:rPr>
              <w:t>the freedom to associate was linked with “privacy in one’s associations.”  Association is more than just “the right to attend a meeting;” it includes the ability to express the attitudes and philosophies of the group.</w:t>
            </w:r>
            <w:r w:rsidR="00A12577">
              <w:rPr>
                <w:rFonts w:ascii="Baskerville Old Face" w:hAnsi="Baskerville Old Face"/>
              </w:rPr>
              <w:t xml:space="preserve">  Students should note the sentence beginning on line 24 and ending in “its existence is necessary in making the express guarantees fully meaningful.”  That is, without recognizing penumbras of certain rights, the government would infringe on the explicit rights, because the essence of the right would be meaningless.</w:t>
            </w:r>
            <w:r w:rsidR="00953DB2">
              <w:rPr>
                <w:rFonts w:ascii="Baskerville Old Face" w:hAnsi="Baskerville Old Face"/>
              </w:rPr>
              <w:t xml:space="preserve">  </w:t>
            </w:r>
          </w:p>
          <w:p w14:paraId="306FF70F" w14:textId="77777777" w:rsidR="002B5A1D" w:rsidRDefault="002B5A1D" w:rsidP="00B81173">
            <w:pPr>
              <w:rPr>
                <w:rFonts w:ascii="Baskerville Old Face" w:hAnsi="Baskerville Old Face"/>
              </w:rPr>
            </w:pPr>
          </w:p>
        </w:tc>
      </w:tr>
      <w:tr w:rsidR="002B5A1D" w14:paraId="73873EE4" w14:textId="77777777" w:rsidTr="00B81173">
        <w:trPr>
          <w:trHeight w:val="1506"/>
        </w:trPr>
        <w:tc>
          <w:tcPr>
            <w:tcW w:w="3078" w:type="dxa"/>
            <w:vAlign w:val="center"/>
          </w:tcPr>
          <w:p w14:paraId="252F67D8" w14:textId="77777777" w:rsidR="002B5A1D" w:rsidRDefault="00A12577" w:rsidP="00B81173">
            <w:pPr>
              <w:rPr>
                <w:rFonts w:ascii="Baskerville Old Face" w:hAnsi="Baskerville Old Face"/>
              </w:rPr>
            </w:pPr>
            <w:r>
              <w:rPr>
                <w:rFonts w:ascii="Baskerville Old Face" w:hAnsi="Baskerville Old Face"/>
              </w:rPr>
              <w:t xml:space="preserve"> Justice Douglas</w:t>
            </w:r>
            <w:r w:rsidR="009B5A7C">
              <w:rPr>
                <w:rFonts w:ascii="Baskerville Old Face" w:hAnsi="Baskerville Old Face"/>
              </w:rPr>
              <w:t xml:space="preserve"> identifies “several fundamental constitutional guarantees” that create</w:t>
            </w:r>
            <w:r>
              <w:rPr>
                <w:rFonts w:ascii="Baskerville Old Face" w:hAnsi="Baskerville Old Face"/>
              </w:rPr>
              <w:t xml:space="preserve"> “zones of privacy</w:t>
            </w:r>
            <w:r w:rsidR="009B5A7C">
              <w:rPr>
                <w:rFonts w:ascii="Baskerville Old Face" w:hAnsi="Baskerville Old Face"/>
              </w:rPr>
              <w:t>.” What are these guarantees?</w:t>
            </w:r>
            <w:r w:rsidR="008B624D">
              <w:rPr>
                <w:rFonts w:ascii="Baskerville Old Face" w:hAnsi="Baskerville Old Face"/>
              </w:rPr>
              <w:t xml:space="preserve"> How are they related to privacy?</w:t>
            </w:r>
          </w:p>
          <w:p w14:paraId="26AF960C" w14:textId="77777777" w:rsidR="002B5A1D" w:rsidRDefault="002B5A1D" w:rsidP="00B81173">
            <w:pPr>
              <w:rPr>
                <w:rFonts w:ascii="Baskerville Old Face" w:hAnsi="Baskerville Old Face"/>
              </w:rPr>
            </w:pPr>
          </w:p>
        </w:tc>
        <w:tc>
          <w:tcPr>
            <w:tcW w:w="10818" w:type="dxa"/>
            <w:vAlign w:val="center"/>
          </w:tcPr>
          <w:p w14:paraId="391C1643" w14:textId="77777777" w:rsidR="009B5A7C" w:rsidRPr="009B5A7C" w:rsidRDefault="009B5A7C" w:rsidP="00B81173">
            <w:pPr>
              <w:rPr>
                <w:rFonts w:ascii="Baskerville Old Face" w:hAnsi="Baskerville Old Face"/>
              </w:rPr>
            </w:pPr>
            <w:r>
              <w:rPr>
                <w:rFonts w:ascii="Baskerville Old Face" w:hAnsi="Baskerville Old Face"/>
              </w:rPr>
              <w:t>Douglas’ argument in creating a penumbra of privacy and a zone of privacy rests on his ability to demonstrate that although the word “privacy” is not written in the Constitution, its essence is found in many other fundamental rights.</w:t>
            </w:r>
          </w:p>
          <w:p w14:paraId="058EE242" w14:textId="77777777" w:rsidR="002B5A1D" w:rsidRDefault="009B5A7C" w:rsidP="00B81173">
            <w:pPr>
              <w:pStyle w:val="ListParagraph"/>
              <w:numPr>
                <w:ilvl w:val="0"/>
                <w:numId w:val="3"/>
              </w:numPr>
              <w:rPr>
                <w:rFonts w:ascii="Baskerville Old Face" w:hAnsi="Baskerville Old Face"/>
              </w:rPr>
            </w:pPr>
            <w:r>
              <w:rPr>
                <w:rFonts w:ascii="Baskerville Old Face" w:hAnsi="Baskerville Old Face"/>
              </w:rPr>
              <w:t>Association in First Amendment</w:t>
            </w:r>
          </w:p>
          <w:p w14:paraId="558AB041" w14:textId="77777777" w:rsidR="009B5A7C" w:rsidRDefault="009B5A7C" w:rsidP="00B81173">
            <w:pPr>
              <w:pStyle w:val="ListParagraph"/>
              <w:numPr>
                <w:ilvl w:val="0"/>
                <w:numId w:val="3"/>
              </w:numPr>
              <w:rPr>
                <w:rFonts w:ascii="Baskerville Old Face" w:hAnsi="Baskerville Old Face"/>
              </w:rPr>
            </w:pPr>
            <w:r>
              <w:rPr>
                <w:rFonts w:ascii="Baskerville Old Face" w:hAnsi="Baskerville Old Face"/>
              </w:rPr>
              <w:t>Prohibition of quartering of soldiers in 3</w:t>
            </w:r>
            <w:r w:rsidRPr="009B5A7C">
              <w:rPr>
                <w:rFonts w:ascii="Baskerville Old Face" w:hAnsi="Baskerville Old Face"/>
                <w:vertAlign w:val="superscript"/>
              </w:rPr>
              <w:t>rd</w:t>
            </w:r>
            <w:r>
              <w:rPr>
                <w:rFonts w:ascii="Baskerville Old Face" w:hAnsi="Baskerville Old Face"/>
              </w:rPr>
              <w:t xml:space="preserve"> Amendment</w:t>
            </w:r>
          </w:p>
          <w:p w14:paraId="449882E2" w14:textId="77777777" w:rsidR="009B5A7C" w:rsidRDefault="009B5A7C" w:rsidP="00B81173">
            <w:pPr>
              <w:pStyle w:val="ListParagraph"/>
              <w:numPr>
                <w:ilvl w:val="0"/>
                <w:numId w:val="3"/>
              </w:numPr>
              <w:rPr>
                <w:rFonts w:ascii="Baskerville Old Face" w:hAnsi="Baskerville Old Face"/>
              </w:rPr>
            </w:pPr>
            <w:r>
              <w:rPr>
                <w:rFonts w:ascii="Baskerville Old Face" w:hAnsi="Baskerville Old Face"/>
              </w:rPr>
              <w:t>Right of people to be secure in their persons, houses, papers, and effects against unreasonable searches and seizures in the Fourth Amendment</w:t>
            </w:r>
          </w:p>
          <w:p w14:paraId="29E1E6B4" w14:textId="77777777" w:rsidR="009B5A7C" w:rsidRDefault="009B5A7C" w:rsidP="00B81173">
            <w:pPr>
              <w:pStyle w:val="ListParagraph"/>
              <w:numPr>
                <w:ilvl w:val="0"/>
                <w:numId w:val="3"/>
              </w:numPr>
              <w:rPr>
                <w:rFonts w:ascii="Baskerville Old Face" w:hAnsi="Baskerville Old Face"/>
              </w:rPr>
            </w:pPr>
            <w:r>
              <w:rPr>
                <w:rFonts w:ascii="Baskerville Old Face" w:hAnsi="Baskerville Old Face"/>
              </w:rPr>
              <w:t>No self-incrimination in the 5</w:t>
            </w:r>
            <w:r w:rsidRPr="009B5A7C">
              <w:rPr>
                <w:rFonts w:ascii="Baskerville Old Face" w:hAnsi="Baskerville Old Face"/>
                <w:vertAlign w:val="superscript"/>
              </w:rPr>
              <w:t>th</w:t>
            </w:r>
            <w:r>
              <w:rPr>
                <w:rFonts w:ascii="Baskerville Old Face" w:hAnsi="Baskerville Old Face"/>
              </w:rPr>
              <w:t xml:space="preserve"> Amendment</w:t>
            </w:r>
          </w:p>
          <w:p w14:paraId="5A5C4F9F" w14:textId="77777777" w:rsidR="009B5A7C" w:rsidRPr="00A12577" w:rsidRDefault="009B5A7C" w:rsidP="00B81173">
            <w:pPr>
              <w:pStyle w:val="ListParagraph"/>
              <w:numPr>
                <w:ilvl w:val="0"/>
                <w:numId w:val="3"/>
              </w:numPr>
              <w:rPr>
                <w:rFonts w:ascii="Baskerville Old Face" w:hAnsi="Baskerville Old Face"/>
              </w:rPr>
            </w:pPr>
            <w:r>
              <w:rPr>
                <w:rFonts w:ascii="Baskerville Old Face" w:hAnsi="Baskerville Old Face"/>
              </w:rPr>
              <w:t>The entire 9</w:t>
            </w:r>
            <w:r w:rsidRPr="009B5A7C">
              <w:rPr>
                <w:rFonts w:ascii="Baskerville Old Face" w:hAnsi="Baskerville Old Face"/>
                <w:vertAlign w:val="superscript"/>
              </w:rPr>
              <w:t>th</w:t>
            </w:r>
            <w:r>
              <w:rPr>
                <w:rFonts w:ascii="Baskerville Old Face" w:hAnsi="Baskerville Old Face"/>
              </w:rPr>
              <w:t xml:space="preserve"> Amendment: “The enumeration in the Constitution, of certain rights, shall not be construed to deny or disparage others retained by the people.”</w:t>
            </w:r>
          </w:p>
          <w:p w14:paraId="22676480" w14:textId="77777777" w:rsidR="002B5A1D" w:rsidRDefault="002B5A1D" w:rsidP="00B81173">
            <w:pPr>
              <w:rPr>
                <w:rFonts w:ascii="Baskerville Old Face" w:hAnsi="Baskerville Old Face"/>
              </w:rPr>
            </w:pPr>
          </w:p>
        </w:tc>
      </w:tr>
      <w:tr w:rsidR="002B5A1D" w14:paraId="500D7747" w14:textId="77777777" w:rsidTr="00B81173">
        <w:trPr>
          <w:trHeight w:val="1506"/>
        </w:trPr>
        <w:tc>
          <w:tcPr>
            <w:tcW w:w="3078" w:type="dxa"/>
          </w:tcPr>
          <w:p w14:paraId="26849A1B" w14:textId="77777777" w:rsidR="002924ED" w:rsidRDefault="002924ED" w:rsidP="002924ED">
            <w:pPr>
              <w:rPr>
                <w:rFonts w:ascii="Baskerville Old Face" w:hAnsi="Baskerville Old Face"/>
              </w:rPr>
            </w:pPr>
          </w:p>
          <w:p w14:paraId="4818B93A" w14:textId="77777777" w:rsidR="002B5A1D" w:rsidRDefault="002673D6" w:rsidP="007134E4">
            <w:pPr>
              <w:rPr>
                <w:rFonts w:ascii="Baskerville Old Face" w:hAnsi="Baskerville Old Face"/>
              </w:rPr>
            </w:pPr>
            <w:r>
              <w:rPr>
                <w:rFonts w:ascii="Baskerville Old Face" w:hAnsi="Baskerville Old Face"/>
              </w:rPr>
              <w:t>According to Justice Douglas in lines 43-50, what makes the particular law under consideration unconstitutional?</w:t>
            </w:r>
          </w:p>
        </w:tc>
        <w:tc>
          <w:tcPr>
            <w:tcW w:w="10818" w:type="dxa"/>
            <w:vAlign w:val="center"/>
          </w:tcPr>
          <w:p w14:paraId="7786C17B" w14:textId="77777777" w:rsidR="002B5A1D" w:rsidRDefault="001C40FB" w:rsidP="00B81173">
            <w:pPr>
              <w:rPr>
                <w:rFonts w:ascii="Baskerville Old Face" w:hAnsi="Baskerville Old Face"/>
              </w:rPr>
            </w:pPr>
            <w:r>
              <w:rPr>
                <w:rFonts w:ascii="Baskerville Old Face" w:hAnsi="Baskerville Old Face"/>
              </w:rPr>
              <w:t>Marriage lies in the zone of privacy.  The law is overly broad and has a “maximum destructive impact” on marriage because instead of regulating the manufacture or sale of contraceptives, the law does not allow married couples to practice birth control.  State laws that unnecessarily “invade the area of protected freedoms” are unconstitutional because they are too broad.</w:t>
            </w:r>
          </w:p>
          <w:p w14:paraId="07B97C9B" w14:textId="77777777" w:rsidR="002B5A1D" w:rsidRDefault="002B5A1D" w:rsidP="00B81173">
            <w:pPr>
              <w:rPr>
                <w:rFonts w:ascii="Baskerville Old Face" w:hAnsi="Baskerville Old Face"/>
              </w:rPr>
            </w:pPr>
          </w:p>
          <w:p w14:paraId="71EDEF97" w14:textId="77777777" w:rsidR="002B5A1D" w:rsidRDefault="002B5A1D" w:rsidP="00B81173">
            <w:pPr>
              <w:rPr>
                <w:rFonts w:ascii="Baskerville Old Face" w:hAnsi="Baskerville Old Face"/>
              </w:rPr>
            </w:pPr>
          </w:p>
        </w:tc>
      </w:tr>
      <w:tr w:rsidR="00F64162" w14:paraId="66A4C6E6" w14:textId="77777777" w:rsidTr="007134E4">
        <w:trPr>
          <w:trHeight w:val="1506"/>
        </w:trPr>
        <w:tc>
          <w:tcPr>
            <w:tcW w:w="13896" w:type="dxa"/>
            <w:gridSpan w:val="2"/>
          </w:tcPr>
          <w:p w14:paraId="2FA5CFB6" w14:textId="77777777" w:rsidR="000E71AC" w:rsidRDefault="00E61D50" w:rsidP="007134E4">
            <w:pPr>
              <w:rPr>
                <w:rFonts w:ascii="Baskerville Old Face" w:hAnsi="Baskerville Old Face"/>
                <w:i/>
              </w:rPr>
            </w:pPr>
            <w:r w:rsidRPr="00E61D50">
              <w:rPr>
                <w:rFonts w:ascii="Baskerville Old Face" w:hAnsi="Baskerville Old Face"/>
                <w:i/>
              </w:rPr>
              <w:t>Teacher note:</w:t>
            </w:r>
            <w:r>
              <w:rPr>
                <w:rFonts w:ascii="Baskerville Old Face" w:hAnsi="Baskerville Old Face"/>
                <w:i/>
              </w:rPr>
              <w:t xml:space="preserve"> The </w:t>
            </w:r>
            <w:r w:rsidR="006B190A">
              <w:rPr>
                <w:rFonts w:ascii="Baskerville Old Face" w:hAnsi="Baskerville Old Face"/>
                <w:i/>
              </w:rPr>
              <w:t>three</w:t>
            </w:r>
            <w:r>
              <w:rPr>
                <w:rFonts w:ascii="Baskerville Old Face" w:hAnsi="Baskerville Old Face"/>
                <w:i/>
              </w:rPr>
              <w:t xml:space="preserve"> questions that follow</w:t>
            </w:r>
            <w:r w:rsidR="006B190A">
              <w:rPr>
                <w:rFonts w:ascii="Baskerville Old Face" w:hAnsi="Baskerville Old Face"/>
                <w:i/>
              </w:rPr>
              <w:t xml:space="preserve"> this</w:t>
            </w:r>
            <w:r>
              <w:rPr>
                <w:rFonts w:ascii="Baskerville Old Face" w:hAnsi="Baskerville Old Face"/>
                <w:i/>
              </w:rPr>
              <w:t xml:space="preserve"> </w:t>
            </w:r>
            <w:r w:rsidR="006B190A">
              <w:rPr>
                <w:rFonts w:ascii="Baskerville Old Face" w:hAnsi="Baskerville Old Face"/>
                <w:i/>
              </w:rPr>
              <w:t xml:space="preserve">note together </w:t>
            </w:r>
            <w:r>
              <w:rPr>
                <w:rFonts w:ascii="Baskerville Old Face" w:hAnsi="Baskerville Old Face"/>
                <w:i/>
              </w:rPr>
              <w:t xml:space="preserve">focus on the unique structure of the dissenting opinion in this case. </w:t>
            </w:r>
            <w:r w:rsidR="004605C8">
              <w:rPr>
                <w:rFonts w:ascii="Baskerville Old Face" w:hAnsi="Baskerville Old Face"/>
                <w:i/>
              </w:rPr>
              <w:t>Help students use the next two questions to develop this understanding. Return to the bold question in this box if students do not fully comprehend the structural differences in the opinions.</w:t>
            </w:r>
            <w:r>
              <w:rPr>
                <w:rFonts w:ascii="Baskerville Old Face" w:hAnsi="Baskerville Old Face"/>
                <w:i/>
              </w:rPr>
              <w:t xml:space="preserve"> </w:t>
            </w:r>
            <w:r w:rsidR="00503126">
              <w:rPr>
                <w:rFonts w:ascii="Baskerville Old Face" w:hAnsi="Baskerville Old Face"/>
                <w:i/>
              </w:rPr>
              <w:t xml:space="preserve"> </w:t>
            </w:r>
          </w:p>
          <w:p w14:paraId="071E48B2" w14:textId="77777777" w:rsidR="000E71AC" w:rsidRDefault="000E71AC" w:rsidP="007134E4">
            <w:pPr>
              <w:rPr>
                <w:rFonts w:ascii="Baskerville Old Face" w:hAnsi="Baskerville Old Face"/>
                <w:i/>
              </w:rPr>
            </w:pPr>
          </w:p>
          <w:p w14:paraId="2FD78465" w14:textId="77777777" w:rsidR="00F64162" w:rsidRDefault="00E61D50" w:rsidP="007134E4">
            <w:pPr>
              <w:rPr>
                <w:rFonts w:ascii="Baskerville Old Face" w:hAnsi="Baskerville Old Face"/>
                <w:i/>
              </w:rPr>
            </w:pPr>
            <w:r>
              <w:rPr>
                <w:rFonts w:ascii="Baskerville Old Face" w:hAnsi="Baskerville Old Face"/>
                <w:b/>
                <w:i/>
              </w:rPr>
              <w:t>How does Justice Stewart structure his dissent to discredit the majority opinion</w:t>
            </w:r>
            <w:r w:rsidR="004605C8">
              <w:rPr>
                <w:rFonts w:ascii="Baskerville Old Face" w:hAnsi="Baskerville Old Face"/>
                <w:b/>
                <w:i/>
              </w:rPr>
              <w:t>?  How is the structure of the dissent different than that of the majority opinion?</w:t>
            </w:r>
            <w:r>
              <w:rPr>
                <w:rFonts w:ascii="Baskerville Old Face" w:hAnsi="Baskerville Old Face"/>
                <w:b/>
                <w:i/>
              </w:rPr>
              <w:t xml:space="preserve"> </w:t>
            </w:r>
          </w:p>
          <w:p w14:paraId="79FEE537" w14:textId="77777777" w:rsidR="00E61D50" w:rsidRDefault="00E61D50" w:rsidP="007134E4">
            <w:pPr>
              <w:rPr>
                <w:rFonts w:ascii="Baskerville Old Face" w:hAnsi="Baskerville Old Face"/>
                <w:i/>
              </w:rPr>
            </w:pPr>
          </w:p>
          <w:p w14:paraId="42AC569B" w14:textId="77777777" w:rsidR="00E61D50" w:rsidRDefault="00E61D50" w:rsidP="004605C8">
            <w:pPr>
              <w:rPr>
                <w:rFonts w:ascii="Baskerville Old Face" w:hAnsi="Baskerville Old Face"/>
                <w:i/>
              </w:rPr>
            </w:pPr>
            <w:r>
              <w:rPr>
                <w:rFonts w:ascii="Baskerville Old Face" w:hAnsi="Baskerville Old Face"/>
                <w:i/>
              </w:rPr>
              <w:t>Students should note that Justice Stewart</w:t>
            </w:r>
            <w:r w:rsidR="004605C8">
              <w:rPr>
                <w:rFonts w:ascii="Baskerville Old Face" w:hAnsi="Baskerville Old Face"/>
                <w:i/>
              </w:rPr>
              <w:t xml:space="preserve"> begins his dissent in a flippant and casual tone when he calls the law in question silly.  He then</w:t>
            </w:r>
            <w:r w:rsidR="00097E74">
              <w:rPr>
                <w:rFonts w:ascii="Baskerville Old Face" w:hAnsi="Baskerville Old Face"/>
                <w:i/>
              </w:rPr>
              <w:t xml:space="preserve"> </w:t>
            </w:r>
            <w:r w:rsidR="004605C8">
              <w:rPr>
                <w:rFonts w:ascii="Baskerville Old Face" w:hAnsi="Baskerville Old Face"/>
                <w:i/>
              </w:rPr>
              <w:t>attacks the majority opinion’s use of Amendment 1, 3, 4, 5, 9, as nothing in the actual words of these amendments would invalidate the law. He leads the reader to understand that his job is to focus on the explicit, rather than on the implied, meaning of the words in the Constitution.</w:t>
            </w:r>
            <w:r w:rsidR="006B190A">
              <w:rPr>
                <w:rFonts w:ascii="Baskerville Old Face" w:hAnsi="Baskerville Old Face"/>
                <w:i/>
              </w:rPr>
              <w:t xml:space="preserve"> In the final paragraph, Stewart returns to his comments about his personal views, but states that regardless of these views and “community standards of decency,” “it is the essence of the judicial duty to </w:t>
            </w:r>
            <w:r w:rsidR="006B190A">
              <w:rPr>
                <w:rFonts w:ascii="Baskerville Old Face" w:hAnsi="Baskerville Old Face"/>
                <w:i/>
              </w:rPr>
              <w:lastRenderedPageBreak/>
              <w:t xml:space="preserve">subordinate our personal views of what legislation is wise and what is not.” </w:t>
            </w:r>
          </w:p>
          <w:p w14:paraId="68835A3D" w14:textId="77777777" w:rsidR="006B190A" w:rsidRDefault="006B190A" w:rsidP="004605C8">
            <w:pPr>
              <w:rPr>
                <w:rFonts w:ascii="Baskerville Old Face" w:hAnsi="Baskerville Old Face"/>
                <w:i/>
              </w:rPr>
            </w:pPr>
          </w:p>
          <w:p w14:paraId="1229BF83" w14:textId="77777777" w:rsidR="006B190A" w:rsidRPr="00E61D50" w:rsidRDefault="006B190A" w:rsidP="004605C8">
            <w:pPr>
              <w:rPr>
                <w:rFonts w:ascii="Baskerville Old Face" w:hAnsi="Baskerville Old Face"/>
                <w:i/>
              </w:rPr>
            </w:pPr>
            <w:r>
              <w:rPr>
                <w:rFonts w:ascii="Baskerville Old Face" w:hAnsi="Baskerville Old Face"/>
                <w:i/>
              </w:rPr>
              <w:t xml:space="preserve">The dissent differs structurally from the majority opinion, because the majority opinion seeks to logically unite the meanings of various amendments to establish an argument for the right of privacy, which is nowhere actually mentioned. The majority opinion is linear and makes use of many precedents in the case law to substantiate the decision. </w:t>
            </w:r>
          </w:p>
        </w:tc>
      </w:tr>
      <w:tr w:rsidR="002B5A1D" w14:paraId="42E5446B" w14:textId="77777777" w:rsidTr="00B81173">
        <w:trPr>
          <w:trHeight w:val="1506"/>
        </w:trPr>
        <w:tc>
          <w:tcPr>
            <w:tcW w:w="3078" w:type="dxa"/>
          </w:tcPr>
          <w:p w14:paraId="5A6F5C3D" w14:textId="77777777" w:rsidR="002B5A1D" w:rsidRDefault="002B5A1D" w:rsidP="007134E4">
            <w:pPr>
              <w:rPr>
                <w:rFonts w:ascii="Baskerville Old Face" w:hAnsi="Baskerville Old Face"/>
              </w:rPr>
            </w:pPr>
          </w:p>
          <w:p w14:paraId="7D328592" w14:textId="77777777" w:rsidR="002B5A1D" w:rsidRDefault="00886494" w:rsidP="007134E4">
            <w:pPr>
              <w:rPr>
                <w:rFonts w:ascii="Baskerville Old Face" w:hAnsi="Baskerville Old Face"/>
              </w:rPr>
            </w:pPr>
            <w:r>
              <w:rPr>
                <w:rFonts w:ascii="Baskerville Old Face" w:hAnsi="Baskerville Old Face"/>
              </w:rPr>
              <w:t>In lines 58-61, how does Justice Stewart explain his opinion of this case?</w:t>
            </w:r>
          </w:p>
        </w:tc>
        <w:tc>
          <w:tcPr>
            <w:tcW w:w="10818" w:type="dxa"/>
            <w:vAlign w:val="center"/>
          </w:tcPr>
          <w:p w14:paraId="163B2415" w14:textId="77777777" w:rsidR="002B5A1D" w:rsidRDefault="00886494" w:rsidP="00B81173">
            <w:pPr>
              <w:jc w:val="center"/>
              <w:rPr>
                <w:rFonts w:ascii="Baskerville Old Face" w:hAnsi="Baskerville Old Face"/>
              </w:rPr>
            </w:pPr>
            <w:r>
              <w:rPr>
                <w:rFonts w:ascii="Baskerville Old Face" w:hAnsi="Baskerville Old Face"/>
              </w:rPr>
              <w:t>Justice Stewart describes the law on contraception as “uncommonly silly,” “unwise,” “asinine.”  But he says that his job is not to assert whether the law is good but if it violates the Constitution. He believes this is something he cannot do.</w:t>
            </w:r>
          </w:p>
          <w:p w14:paraId="75E3FEC9" w14:textId="77777777" w:rsidR="002B5A1D" w:rsidRDefault="002B5A1D" w:rsidP="00B81173">
            <w:pPr>
              <w:jc w:val="center"/>
              <w:rPr>
                <w:rFonts w:ascii="Baskerville Old Face" w:hAnsi="Baskerville Old Face"/>
              </w:rPr>
            </w:pPr>
          </w:p>
          <w:p w14:paraId="46B257F6" w14:textId="77777777" w:rsidR="002B5A1D" w:rsidRDefault="002B5A1D" w:rsidP="00B81173">
            <w:pPr>
              <w:jc w:val="center"/>
              <w:rPr>
                <w:rFonts w:ascii="Baskerville Old Face" w:hAnsi="Baskerville Old Face"/>
              </w:rPr>
            </w:pPr>
          </w:p>
        </w:tc>
      </w:tr>
      <w:tr w:rsidR="002B5A1D" w14:paraId="4FFBF3D3" w14:textId="77777777" w:rsidTr="00A12577">
        <w:trPr>
          <w:trHeight w:val="1506"/>
        </w:trPr>
        <w:tc>
          <w:tcPr>
            <w:tcW w:w="3078" w:type="dxa"/>
          </w:tcPr>
          <w:p w14:paraId="707EA4B8" w14:textId="77777777" w:rsidR="002B5A1D" w:rsidRDefault="002B5A1D" w:rsidP="007134E4">
            <w:pPr>
              <w:rPr>
                <w:rFonts w:ascii="Baskerville Old Face" w:hAnsi="Baskerville Old Face"/>
              </w:rPr>
            </w:pPr>
          </w:p>
          <w:p w14:paraId="45821D9B" w14:textId="77777777" w:rsidR="002B5A1D" w:rsidRDefault="002B5A1D" w:rsidP="007134E4">
            <w:pPr>
              <w:rPr>
                <w:rFonts w:ascii="Baskerville Old Face" w:hAnsi="Baskerville Old Face"/>
              </w:rPr>
            </w:pPr>
          </w:p>
          <w:p w14:paraId="2BB69967" w14:textId="77777777" w:rsidR="002B5A1D" w:rsidRDefault="00886494" w:rsidP="007134E4">
            <w:pPr>
              <w:rPr>
                <w:rFonts w:ascii="Baskerville Old Face" w:hAnsi="Baskerville Old Face"/>
              </w:rPr>
            </w:pPr>
            <w:r>
              <w:rPr>
                <w:rFonts w:ascii="Baskerville Old Face" w:hAnsi="Baskerville Old Face"/>
              </w:rPr>
              <w:t>Why does Justice Stewart dismiss Justice Douglas’ argument that zones of privacy emanate from the 1</w:t>
            </w:r>
            <w:r w:rsidRPr="00886494">
              <w:rPr>
                <w:rFonts w:ascii="Baskerville Old Face" w:hAnsi="Baskerville Old Face"/>
                <w:vertAlign w:val="superscript"/>
              </w:rPr>
              <w:t>st</w:t>
            </w:r>
            <w:r>
              <w:rPr>
                <w:rFonts w:ascii="Baskerville Old Face" w:hAnsi="Baskerville Old Face"/>
              </w:rPr>
              <w:t>, 3</w:t>
            </w:r>
            <w:r w:rsidRPr="00886494">
              <w:rPr>
                <w:rFonts w:ascii="Baskerville Old Face" w:hAnsi="Baskerville Old Face"/>
                <w:vertAlign w:val="superscript"/>
              </w:rPr>
              <w:t>rd</w:t>
            </w:r>
            <w:r>
              <w:rPr>
                <w:rFonts w:ascii="Baskerville Old Face" w:hAnsi="Baskerville Old Face"/>
              </w:rPr>
              <w:t>, 4</w:t>
            </w:r>
            <w:r w:rsidRPr="00886494">
              <w:rPr>
                <w:rFonts w:ascii="Baskerville Old Face" w:hAnsi="Baskerville Old Face"/>
                <w:vertAlign w:val="superscript"/>
              </w:rPr>
              <w:t>th</w:t>
            </w:r>
            <w:r>
              <w:rPr>
                <w:rFonts w:ascii="Baskerville Old Face" w:hAnsi="Baskerville Old Face"/>
              </w:rPr>
              <w:t>, 5</w:t>
            </w:r>
            <w:r w:rsidRPr="00886494">
              <w:rPr>
                <w:rFonts w:ascii="Baskerville Old Face" w:hAnsi="Baskerville Old Face"/>
                <w:vertAlign w:val="superscript"/>
              </w:rPr>
              <w:t>th</w:t>
            </w:r>
            <w:r>
              <w:rPr>
                <w:rFonts w:ascii="Baskerville Old Face" w:hAnsi="Baskerville Old Face"/>
              </w:rPr>
              <w:t>, and 9</w:t>
            </w:r>
            <w:r w:rsidRPr="00886494">
              <w:rPr>
                <w:rFonts w:ascii="Baskerville Old Face" w:hAnsi="Baskerville Old Face"/>
                <w:vertAlign w:val="superscript"/>
              </w:rPr>
              <w:t>th</w:t>
            </w:r>
            <w:r>
              <w:rPr>
                <w:rFonts w:ascii="Baskerville Old Face" w:hAnsi="Baskerville Old Face"/>
              </w:rPr>
              <w:t xml:space="preserve"> Amendments?</w:t>
            </w:r>
          </w:p>
          <w:p w14:paraId="1727D2F2" w14:textId="77777777" w:rsidR="002B5A1D" w:rsidRDefault="002B5A1D" w:rsidP="007134E4">
            <w:pPr>
              <w:rPr>
                <w:rFonts w:ascii="Baskerville Old Face" w:hAnsi="Baskerville Old Face"/>
              </w:rPr>
            </w:pPr>
          </w:p>
        </w:tc>
        <w:tc>
          <w:tcPr>
            <w:tcW w:w="10818" w:type="dxa"/>
          </w:tcPr>
          <w:p w14:paraId="6DD44F2D" w14:textId="77777777" w:rsidR="002B5A1D" w:rsidRDefault="002B5A1D" w:rsidP="007134E4">
            <w:pPr>
              <w:rPr>
                <w:rFonts w:ascii="Baskerville Old Face" w:hAnsi="Baskerville Old Face"/>
              </w:rPr>
            </w:pPr>
          </w:p>
          <w:p w14:paraId="04EE5335" w14:textId="77777777" w:rsidR="002B5A1D" w:rsidRDefault="004D1E60" w:rsidP="007134E4">
            <w:pPr>
              <w:rPr>
                <w:rFonts w:ascii="Baskerville Old Face" w:hAnsi="Baskerville Old Face"/>
              </w:rPr>
            </w:pPr>
            <w:r>
              <w:rPr>
                <w:rFonts w:ascii="Baskerville Old Face" w:hAnsi="Baskerville Old Face"/>
              </w:rPr>
              <w:t>He states that none of the actual rights listed in the amendments has been infringed by the Connecticut law. He goes into specifics of this in lines 67-71.</w:t>
            </w:r>
          </w:p>
          <w:p w14:paraId="45FAD46C" w14:textId="77777777" w:rsidR="004D1E60" w:rsidRDefault="004D1E60" w:rsidP="007134E4">
            <w:pPr>
              <w:rPr>
                <w:rFonts w:ascii="Baskerville Old Face" w:hAnsi="Baskerville Old Face"/>
              </w:rPr>
            </w:pPr>
          </w:p>
          <w:p w14:paraId="42B4079B" w14:textId="77777777" w:rsidR="004D1E60" w:rsidRDefault="004D1E60" w:rsidP="007134E4">
            <w:pPr>
              <w:rPr>
                <w:rFonts w:ascii="Baskerville Old Face" w:hAnsi="Baskerville Old Face"/>
              </w:rPr>
            </w:pPr>
            <w:r>
              <w:rPr>
                <w:rFonts w:ascii="Baskerville Old Face" w:hAnsi="Baskerville Old Face"/>
              </w:rPr>
              <w:t>He also rebukes Justice Douglas with the following: “And surely, unless the solemn proves of constitutional adjudication is to descend to the level of a play on words…”  Douglas believes that Constitutional interpretation must rely upon interpreting the actual words and rights instead of inferring rights as penumbras.</w:t>
            </w:r>
          </w:p>
          <w:p w14:paraId="0F948D05" w14:textId="77777777" w:rsidR="002B5A1D" w:rsidRDefault="002B5A1D" w:rsidP="007134E4">
            <w:pPr>
              <w:rPr>
                <w:rFonts w:ascii="Baskerville Old Face" w:hAnsi="Baskerville Old Face"/>
              </w:rPr>
            </w:pPr>
          </w:p>
          <w:p w14:paraId="50F2A5C6" w14:textId="77777777" w:rsidR="002B5A1D" w:rsidRDefault="007902E9" w:rsidP="007134E4">
            <w:pPr>
              <w:rPr>
                <w:rFonts w:ascii="Baskerville Old Face" w:hAnsi="Baskerville Old Face"/>
              </w:rPr>
            </w:pPr>
            <w:r>
              <w:rPr>
                <w:rFonts w:ascii="Baskerville Old Face" w:hAnsi="Baskerville Old Face"/>
              </w:rPr>
              <w:t>He also says that using the 9</w:t>
            </w:r>
            <w:r w:rsidRPr="007902E9">
              <w:rPr>
                <w:rFonts w:ascii="Baskerville Old Face" w:hAnsi="Baskerville Old Face"/>
                <w:vertAlign w:val="superscript"/>
              </w:rPr>
              <w:t>th</w:t>
            </w:r>
            <w:r>
              <w:rPr>
                <w:rFonts w:ascii="Baskerville Old Face" w:hAnsi="Baskerville Old Face"/>
              </w:rPr>
              <w:t xml:space="preserve"> Amendment to speak of privacy “is to turn somersaults with history,” as the original purpose of the 9</w:t>
            </w:r>
            <w:r w:rsidRPr="007902E9">
              <w:rPr>
                <w:rFonts w:ascii="Baskerville Old Face" w:hAnsi="Baskerville Old Face"/>
                <w:vertAlign w:val="superscript"/>
              </w:rPr>
              <w:t>th</w:t>
            </w:r>
            <w:r>
              <w:rPr>
                <w:rFonts w:ascii="Baskerville Old Face" w:hAnsi="Baskerville Old Face"/>
              </w:rPr>
              <w:t xml:space="preserve"> Amendment, and all of the case law precedent, never had anything to do with privacy.</w:t>
            </w:r>
          </w:p>
          <w:p w14:paraId="07CE762C" w14:textId="77777777" w:rsidR="007902E9" w:rsidRDefault="007902E9" w:rsidP="007134E4">
            <w:pPr>
              <w:rPr>
                <w:rFonts w:ascii="Baskerville Old Face" w:hAnsi="Baskerville Old Face"/>
              </w:rPr>
            </w:pPr>
          </w:p>
          <w:p w14:paraId="16983647" w14:textId="77777777" w:rsidR="007902E9" w:rsidRDefault="007902E9" w:rsidP="007134E4">
            <w:pPr>
              <w:rPr>
                <w:rFonts w:ascii="Baskerville Old Face" w:hAnsi="Baskerville Old Face"/>
              </w:rPr>
            </w:pPr>
            <w:r>
              <w:rPr>
                <w:rFonts w:ascii="Baskerville Old Face" w:hAnsi="Baskerville Old Face"/>
              </w:rPr>
              <w:t>Students should cite lines 80-81 as the crux of the argument.</w:t>
            </w:r>
          </w:p>
          <w:p w14:paraId="6866EF6C" w14:textId="77777777" w:rsidR="002B5A1D" w:rsidRDefault="002B5A1D" w:rsidP="007134E4">
            <w:pPr>
              <w:rPr>
                <w:rFonts w:ascii="Baskerville Old Face" w:hAnsi="Baskerville Old Face"/>
              </w:rPr>
            </w:pPr>
          </w:p>
        </w:tc>
      </w:tr>
      <w:tr w:rsidR="002B5A1D" w14:paraId="488E23F1" w14:textId="77777777" w:rsidTr="00A12577">
        <w:trPr>
          <w:trHeight w:val="1506"/>
        </w:trPr>
        <w:tc>
          <w:tcPr>
            <w:tcW w:w="3078" w:type="dxa"/>
          </w:tcPr>
          <w:p w14:paraId="0FC5CD95" w14:textId="77777777" w:rsidR="002B5A1D" w:rsidRDefault="002B5A1D" w:rsidP="007134E4">
            <w:pPr>
              <w:rPr>
                <w:rFonts w:ascii="Baskerville Old Face" w:hAnsi="Baskerville Old Face"/>
              </w:rPr>
            </w:pPr>
          </w:p>
          <w:p w14:paraId="326C7E22" w14:textId="77777777" w:rsidR="002B5A1D" w:rsidRDefault="00BB00CE" w:rsidP="007134E4">
            <w:pPr>
              <w:rPr>
                <w:rFonts w:ascii="Baskerville Old Face" w:hAnsi="Baskerville Old Face"/>
              </w:rPr>
            </w:pPr>
            <w:r>
              <w:rPr>
                <w:rFonts w:ascii="Baskerville Old Face" w:hAnsi="Baskerville Old Face"/>
              </w:rPr>
              <w:t>What is Justice Stewart’s view of the role of the Supreme Court?</w:t>
            </w:r>
          </w:p>
          <w:p w14:paraId="072FB041" w14:textId="77777777" w:rsidR="002B5A1D" w:rsidRDefault="002B5A1D" w:rsidP="007134E4">
            <w:pPr>
              <w:rPr>
                <w:rFonts w:ascii="Baskerville Old Face" w:hAnsi="Baskerville Old Face"/>
              </w:rPr>
            </w:pPr>
          </w:p>
        </w:tc>
        <w:tc>
          <w:tcPr>
            <w:tcW w:w="10818" w:type="dxa"/>
          </w:tcPr>
          <w:p w14:paraId="4B894F2E" w14:textId="77777777" w:rsidR="002B5A1D" w:rsidRDefault="002B5A1D" w:rsidP="007134E4">
            <w:pPr>
              <w:rPr>
                <w:rFonts w:ascii="Baskerville Old Face" w:hAnsi="Baskerville Old Face"/>
              </w:rPr>
            </w:pPr>
          </w:p>
          <w:p w14:paraId="6DAF7FEF" w14:textId="77777777" w:rsidR="002B5A1D" w:rsidRDefault="00BB00CE" w:rsidP="007134E4">
            <w:pPr>
              <w:rPr>
                <w:rFonts w:ascii="Baskerville Old Face" w:hAnsi="Baskerville Old Face"/>
              </w:rPr>
            </w:pPr>
            <w:r>
              <w:rPr>
                <w:rFonts w:ascii="Baskerville Old Face" w:hAnsi="Baskerville Old Face"/>
              </w:rPr>
              <w:t>Stewart believes the court should: “decide cases “agreeably to the Constitution and laws of the United States,” “judicial duty to subordinate our own personal views, our own ideas of what legislation is wise and what is not.”</w:t>
            </w:r>
          </w:p>
          <w:p w14:paraId="00CBE711" w14:textId="77777777" w:rsidR="00BB00CE" w:rsidRDefault="00BB00CE" w:rsidP="007134E4">
            <w:pPr>
              <w:rPr>
                <w:rFonts w:ascii="Baskerville Old Face" w:hAnsi="Baskerville Old Face"/>
              </w:rPr>
            </w:pPr>
          </w:p>
          <w:p w14:paraId="296C38BD" w14:textId="77777777" w:rsidR="00BB00CE" w:rsidRDefault="00BB00CE" w:rsidP="007134E4">
            <w:pPr>
              <w:rPr>
                <w:rFonts w:ascii="Baskerville Old Face" w:hAnsi="Baskerville Old Face"/>
              </w:rPr>
            </w:pPr>
            <w:r>
              <w:rPr>
                <w:rFonts w:ascii="Baskerville Old Face" w:hAnsi="Baskerville Old Face"/>
              </w:rPr>
              <w:t xml:space="preserve">He does not believe the court should “decide cases on the basis of community standards.” </w:t>
            </w:r>
          </w:p>
          <w:p w14:paraId="37C98207" w14:textId="77777777" w:rsidR="002B5A1D" w:rsidRDefault="002B5A1D" w:rsidP="007134E4">
            <w:pPr>
              <w:rPr>
                <w:rFonts w:ascii="Baskerville Old Face" w:hAnsi="Baskerville Old Face"/>
              </w:rPr>
            </w:pPr>
          </w:p>
        </w:tc>
      </w:tr>
    </w:tbl>
    <w:p w14:paraId="1005AB2C" w14:textId="77777777" w:rsidR="00BB3FDD" w:rsidRDefault="00BB3FDD" w:rsidP="002B5A1D">
      <w:pPr>
        <w:suppressLineNumbers/>
        <w:rPr>
          <w:rFonts w:ascii="Baskerville Old Face" w:hAnsi="Baskerville Old Face"/>
        </w:rPr>
      </w:pPr>
    </w:p>
    <w:p w14:paraId="44846990" w14:textId="77777777" w:rsidR="0060593E" w:rsidRDefault="0060593E" w:rsidP="00CD79D3">
      <w:pPr>
        <w:suppressLineNumbers/>
        <w:rPr>
          <w:rFonts w:ascii="Baskerville Old Face" w:hAnsi="Baskerville Old Face"/>
        </w:rPr>
      </w:pPr>
      <w:r>
        <w:rPr>
          <w:rFonts w:ascii="Baskerville Old Face" w:hAnsi="Baskerville Old Face"/>
        </w:rPr>
        <w:br w:type="page"/>
      </w:r>
    </w:p>
    <w:p w14:paraId="26D28418" w14:textId="77777777" w:rsidR="005F0549" w:rsidRDefault="005F0549" w:rsidP="005F0549">
      <w:pPr>
        <w:suppressLineNumbers/>
        <w:jc w:val="center"/>
        <w:rPr>
          <w:rFonts w:ascii="Baskerville Old Face" w:hAnsi="Baskerville Old Face"/>
          <w:sz w:val="32"/>
          <w:szCs w:val="32"/>
        </w:rPr>
      </w:pPr>
      <w:r>
        <w:rPr>
          <w:rFonts w:ascii="Baskerville Old Face" w:hAnsi="Baskerville Old Face"/>
          <w:sz w:val="32"/>
          <w:szCs w:val="32"/>
        </w:rPr>
        <w:lastRenderedPageBreak/>
        <w:t>Vocabulary</w:t>
      </w:r>
    </w:p>
    <w:tbl>
      <w:tblPr>
        <w:tblW w:w="12676" w:type="dxa"/>
        <w:jc w:val="center"/>
        <w:tblInd w:w="93" w:type="dxa"/>
        <w:tblLook w:val="04A0" w:firstRow="1" w:lastRow="0" w:firstColumn="1" w:lastColumn="0" w:noHBand="0" w:noVBand="1"/>
      </w:tblPr>
      <w:tblGrid>
        <w:gridCol w:w="825"/>
        <w:gridCol w:w="1456"/>
        <w:gridCol w:w="3855"/>
        <w:gridCol w:w="825"/>
        <w:gridCol w:w="1440"/>
        <w:gridCol w:w="4275"/>
      </w:tblGrid>
      <w:tr w:rsidR="005F0549" w:rsidRPr="00450DE6" w14:paraId="217A9A9C" w14:textId="77777777" w:rsidTr="005F0549">
        <w:trPr>
          <w:trHeight w:val="1500"/>
          <w:jc w:val="center"/>
        </w:trPr>
        <w:tc>
          <w:tcPr>
            <w:tcW w:w="6136" w:type="dxa"/>
            <w:gridSpan w:val="3"/>
            <w:tcBorders>
              <w:top w:val="single" w:sz="4" w:space="0" w:color="auto"/>
              <w:left w:val="single" w:sz="4" w:space="0" w:color="auto"/>
              <w:bottom w:val="single" w:sz="12" w:space="0" w:color="auto"/>
              <w:right w:val="single" w:sz="4" w:space="0" w:color="auto"/>
            </w:tcBorders>
            <w:shd w:val="clear" w:color="auto" w:fill="auto"/>
            <w:hideMark/>
          </w:tcPr>
          <w:p w14:paraId="75224AD5" w14:textId="77777777" w:rsidR="005F0549" w:rsidRPr="00450DE6" w:rsidRDefault="005F0549" w:rsidP="0028258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processes/ideas/concepts/experiences that are familiar to your students )</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3F9DBD79" w14:textId="77777777" w:rsidR="005F0549" w:rsidRPr="00450DE6" w:rsidRDefault="005F0549" w:rsidP="0028258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5F0549" w:rsidRPr="005F0549" w14:paraId="2A279FF8" w14:textId="77777777" w:rsidTr="005F0549">
        <w:trPr>
          <w:trHeight w:val="315"/>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78A095E"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Line #</w:t>
            </w:r>
          </w:p>
        </w:tc>
        <w:tc>
          <w:tcPr>
            <w:tcW w:w="1456" w:type="dxa"/>
            <w:tcBorders>
              <w:top w:val="nil"/>
              <w:left w:val="nil"/>
              <w:bottom w:val="single" w:sz="4" w:space="0" w:color="auto"/>
              <w:right w:val="single" w:sz="4" w:space="0" w:color="auto"/>
            </w:tcBorders>
            <w:shd w:val="clear" w:color="auto" w:fill="auto"/>
            <w:noWrap/>
            <w:vAlign w:val="bottom"/>
            <w:hideMark/>
          </w:tcPr>
          <w:p w14:paraId="05964BEB"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71EB3815"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7D362EE"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3387347B"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64F51B5D" w14:textId="77777777" w:rsidR="005F0549" w:rsidRPr="005F0549" w:rsidRDefault="005F0549" w:rsidP="005F0549">
            <w:pPr>
              <w:spacing w:after="0" w:line="240" w:lineRule="auto"/>
              <w:jc w:val="center"/>
              <w:rPr>
                <w:rFonts w:ascii="Calibri" w:eastAsia="Times New Roman" w:hAnsi="Calibri" w:cs="Times New Roman"/>
                <w:b/>
                <w:color w:val="000000"/>
              </w:rPr>
            </w:pPr>
            <w:r w:rsidRPr="005F0549">
              <w:rPr>
                <w:rFonts w:ascii="Calibri" w:eastAsia="Times New Roman" w:hAnsi="Calibri" w:cs="Times New Roman"/>
                <w:b/>
                <w:color w:val="000000"/>
              </w:rPr>
              <w:t>Definition</w:t>
            </w:r>
          </w:p>
        </w:tc>
      </w:tr>
      <w:tr w:rsidR="005F0549" w:rsidRPr="00450DE6" w14:paraId="334944FF"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4D30B71F"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456" w:type="dxa"/>
            <w:tcBorders>
              <w:top w:val="nil"/>
              <w:left w:val="nil"/>
              <w:bottom w:val="single" w:sz="4" w:space="0" w:color="auto"/>
              <w:right w:val="single" w:sz="4" w:space="0" w:color="auto"/>
            </w:tcBorders>
            <w:shd w:val="clear" w:color="auto" w:fill="auto"/>
            <w:noWrap/>
            <w:hideMark/>
          </w:tcPr>
          <w:p w14:paraId="60EE0BC8"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conception</w:t>
            </w:r>
          </w:p>
        </w:tc>
        <w:tc>
          <w:tcPr>
            <w:tcW w:w="3855" w:type="dxa"/>
            <w:tcBorders>
              <w:top w:val="nil"/>
              <w:left w:val="nil"/>
              <w:bottom w:val="single" w:sz="4" w:space="0" w:color="auto"/>
              <w:right w:val="nil"/>
            </w:tcBorders>
            <w:shd w:val="clear" w:color="auto" w:fill="auto"/>
            <w:noWrap/>
            <w:hideMark/>
          </w:tcPr>
          <w:p w14:paraId="2746EA99"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Beginning of pregnancy.</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66A2BB7B"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40" w:type="dxa"/>
            <w:tcBorders>
              <w:top w:val="nil"/>
              <w:left w:val="nil"/>
              <w:bottom w:val="single" w:sz="4" w:space="0" w:color="auto"/>
              <w:right w:val="single" w:sz="4" w:space="0" w:color="auto"/>
            </w:tcBorders>
            <w:shd w:val="clear" w:color="auto" w:fill="auto"/>
            <w:noWrap/>
            <w:hideMark/>
          </w:tcPr>
          <w:p w14:paraId="0BFF5DF7"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opinion</w:t>
            </w:r>
          </w:p>
        </w:tc>
        <w:tc>
          <w:tcPr>
            <w:tcW w:w="4275" w:type="dxa"/>
            <w:tcBorders>
              <w:top w:val="nil"/>
              <w:left w:val="nil"/>
              <w:bottom w:val="single" w:sz="4" w:space="0" w:color="auto"/>
              <w:right w:val="single" w:sz="4" w:space="0" w:color="auto"/>
            </w:tcBorders>
            <w:shd w:val="clear" w:color="auto" w:fill="auto"/>
            <w:noWrap/>
            <w:hideMark/>
          </w:tcPr>
          <w:p w14:paraId="5EC47F01"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In law, a formal document written by a judge or court stating the reasons and principles of law that informed a particular decision on a case.</w:t>
            </w:r>
            <w:r w:rsidRPr="00450DE6">
              <w:rPr>
                <w:rFonts w:ascii="Calibri" w:eastAsia="Times New Roman" w:hAnsi="Calibri" w:cs="Times New Roman"/>
                <w:color w:val="000000"/>
              </w:rPr>
              <w:t> </w:t>
            </w:r>
          </w:p>
        </w:tc>
      </w:tr>
      <w:tr w:rsidR="005F0549" w:rsidRPr="00450DE6" w14:paraId="4B6DA0DD"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1CE8B93D"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1456" w:type="dxa"/>
            <w:tcBorders>
              <w:top w:val="nil"/>
              <w:left w:val="nil"/>
              <w:bottom w:val="single" w:sz="4" w:space="0" w:color="auto"/>
              <w:right w:val="single" w:sz="4" w:space="0" w:color="auto"/>
            </w:tcBorders>
            <w:shd w:val="clear" w:color="auto" w:fill="auto"/>
            <w:noWrap/>
            <w:hideMark/>
          </w:tcPr>
          <w:p w14:paraId="27172165"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utter</w:t>
            </w:r>
          </w:p>
        </w:tc>
        <w:tc>
          <w:tcPr>
            <w:tcW w:w="3855" w:type="dxa"/>
            <w:tcBorders>
              <w:top w:val="nil"/>
              <w:left w:val="nil"/>
              <w:bottom w:val="single" w:sz="4" w:space="0" w:color="auto"/>
              <w:right w:val="nil"/>
            </w:tcBorders>
            <w:shd w:val="clear" w:color="auto" w:fill="auto"/>
            <w:noWrap/>
            <w:hideMark/>
          </w:tcPr>
          <w:p w14:paraId="3D68D710"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To speak </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7A0F6391"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440" w:type="dxa"/>
            <w:tcBorders>
              <w:top w:val="nil"/>
              <w:left w:val="nil"/>
              <w:bottom w:val="single" w:sz="4" w:space="0" w:color="auto"/>
              <w:right w:val="single" w:sz="4" w:space="0" w:color="auto"/>
            </w:tcBorders>
            <w:shd w:val="clear" w:color="auto" w:fill="auto"/>
            <w:noWrap/>
            <w:hideMark/>
          </w:tcPr>
          <w:p w14:paraId="3B6B9AF3"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standing</w:t>
            </w:r>
          </w:p>
        </w:tc>
        <w:tc>
          <w:tcPr>
            <w:tcW w:w="4275" w:type="dxa"/>
            <w:tcBorders>
              <w:top w:val="nil"/>
              <w:left w:val="nil"/>
              <w:bottom w:val="single" w:sz="4" w:space="0" w:color="auto"/>
              <w:right w:val="single" w:sz="4" w:space="0" w:color="auto"/>
            </w:tcBorders>
            <w:shd w:val="clear" w:color="auto" w:fill="auto"/>
            <w:noWrap/>
            <w:hideMark/>
          </w:tcPr>
          <w:p w14:paraId="2A243E0F"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Rank; position; status.</w:t>
            </w:r>
            <w:r w:rsidRPr="00450DE6">
              <w:rPr>
                <w:rFonts w:ascii="Calibri" w:eastAsia="Times New Roman" w:hAnsi="Calibri" w:cs="Times New Roman"/>
                <w:color w:val="000000"/>
              </w:rPr>
              <w:t> </w:t>
            </w:r>
          </w:p>
        </w:tc>
      </w:tr>
      <w:tr w:rsidR="005F0549" w:rsidRPr="00450DE6" w14:paraId="055F43DD"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47C108D7"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456" w:type="dxa"/>
            <w:tcBorders>
              <w:top w:val="nil"/>
              <w:left w:val="nil"/>
              <w:bottom w:val="single" w:sz="4" w:space="0" w:color="auto"/>
              <w:right w:val="single" w:sz="4" w:space="0" w:color="auto"/>
            </w:tcBorders>
            <w:shd w:val="clear" w:color="auto" w:fill="auto"/>
            <w:noWrap/>
            <w:hideMark/>
          </w:tcPr>
          <w:p w14:paraId="537CEFAE"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facet</w:t>
            </w:r>
          </w:p>
        </w:tc>
        <w:tc>
          <w:tcPr>
            <w:tcW w:w="3855" w:type="dxa"/>
            <w:tcBorders>
              <w:top w:val="nil"/>
              <w:left w:val="nil"/>
              <w:bottom w:val="single" w:sz="4" w:space="0" w:color="auto"/>
              <w:right w:val="nil"/>
            </w:tcBorders>
            <w:shd w:val="clear" w:color="auto" w:fill="auto"/>
            <w:noWrap/>
            <w:hideMark/>
          </w:tcPr>
          <w:p w14:paraId="7B03BC4D"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An angle, aspect, or phase, as of a problem or situation.</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595BCADC"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hideMark/>
          </w:tcPr>
          <w:p w14:paraId="3182418D"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association</w:t>
            </w:r>
          </w:p>
        </w:tc>
        <w:tc>
          <w:tcPr>
            <w:tcW w:w="4275" w:type="dxa"/>
            <w:tcBorders>
              <w:top w:val="nil"/>
              <w:left w:val="nil"/>
              <w:bottom w:val="single" w:sz="4" w:space="0" w:color="auto"/>
              <w:right w:val="single" w:sz="4" w:space="0" w:color="auto"/>
            </w:tcBorders>
            <w:shd w:val="clear" w:color="auto" w:fill="auto"/>
            <w:noWrap/>
            <w:hideMark/>
          </w:tcPr>
          <w:p w14:paraId="6D1979B7"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group of people joined together for a common purpose or by a mutual interest.</w:t>
            </w:r>
          </w:p>
        </w:tc>
      </w:tr>
      <w:tr w:rsidR="005F0549" w:rsidRPr="00450DE6" w14:paraId="3DAAEE4D"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32BB3BCB"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1456" w:type="dxa"/>
            <w:tcBorders>
              <w:top w:val="nil"/>
              <w:left w:val="nil"/>
              <w:bottom w:val="single" w:sz="4" w:space="0" w:color="auto"/>
              <w:right w:val="single" w:sz="4" w:space="0" w:color="auto"/>
            </w:tcBorders>
            <w:shd w:val="clear" w:color="auto" w:fill="auto"/>
            <w:noWrap/>
            <w:hideMark/>
          </w:tcPr>
          <w:p w14:paraId="53F1B1A9"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self-incrimination</w:t>
            </w:r>
          </w:p>
        </w:tc>
        <w:tc>
          <w:tcPr>
            <w:tcW w:w="3855" w:type="dxa"/>
            <w:tcBorders>
              <w:top w:val="nil"/>
              <w:left w:val="nil"/>
              <w:bottom w:val="single" w:sz="4" w:space="0" w:color="auto"/>
              <w:right w:val="nil"/>
            </w:tcBorders>
            <w:shd w:val="clear" w:color="auto" w:fill="auto"/>
            <w:noWrap/>
            <w:hideMark/>
          </w:tcPr>
          <w:p w14:paraId="7A399534"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To show or testify as to one’s involvement in a crime.</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0E1DF2EA"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440" w:type="dxa"/>
            <w:tcBorders>
              <w:top w:val="nil"/>
              <w:left w:val="nil"/>
              <w:bottom w:val="single" w:sz="4" w:space="0" w:color="auto"/>
              <w:right w:val="single" w:sz="4" w:space="0" w:color="auto"/>
            </w:tcBorders>
            <w:shd w:val="clear" w:color="auto" w:fill="auto"/>
            <w:noWrap/>
            <w:hideMark/>
          </w:tcPr>
          <w:p w14:paraId="2DFCBAC6"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parochial</w:t>
            </w:r>
          </w:p>
        </w:tc>
        <w:tc>
          <w:tcPr>
            <w:tcW w:w="4275" w:type="dxa"/>
            <w:tcBorders>
              <w:top w:val="nil"/>
              <w:left w:val="nil"/>
              <w:bottom w:val="single" w:sz="4" w:space="0" w:color="auto"/>
              <w:right w:val="single" w:sz="4" w:space="0" w:color="auto"/>
            </w:tcBorders>
            <w:shd w:val="clear" w:color="auto" w:fill="auto"/>
            <w:noWrap/>
            <w:hideMark/>
          </w:tcPr>
          <w:p w14:paraId="53960782"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Of or concerning a church parish</w:t>
            </w:r>
            <w:r w:rsidRPr="00450DE6">
              <w:rPr>
                <w:rFonts w:ascii="Calibri" w:eastAsia="Times New Roman" w:hAnsi="Calibri" w:cs="Times New Roman"/>
                <w:color w:val="000000"/>
              </w:rPr>
              <w:t> </w:t>
            </w:r>
            <w:r>
              <w:rPr>
                <w:rFonts w:ascii="Calibri" w:eastAsia="Times New Roman" w:hAnsi="Calibri" w:cs="Times New Roman"/>
                <w:color w:val="000000"/>
              </w:rPr>
              <w:t xml:space="preserve"> (a district having its own church and priest)</w:t>
            </w:r>
          </w:p>
        </w:tc>
      </w:tr>
      <w:tr w:rsidR="005F0549" w:rsidRPr="00450DE6" w14:paraId="09828F16"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6184E546"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1456" w:type="dxa"/>
            <w:tcBorders>
              <w:top w:val="nil"/>
              <w:left w:val="nil"/>
              <w:bottom w:val="single" w:sz="4" w:space="0" w:color="auto"/>
              <w:right w:val="single" w:sz="4" w:space="0" w:color="auto"/>
            </w:tcBorders>
            <w:shd w:val="clear" w:color="auto" w:fill="auto"/>
            <w:noWrap/>
            <w:hideMark/>
          </w:tcPr>
          <w:p w14:paraId="425C9E73"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detriment</w:t>
            </w:r>
          </w:p>
        </w:tc>
        <w:tc>
          <w:tcPr>
            <w:tcW w:w="3855" w:type="dxa"/>
            <w:tcBorders>
              <w:top w:val="nil"/>
              <w:left w:val="nil"/>
              <w:bottom w:val="single" w:sz="4" w:space="0" w:color="auto"/>
              <w:right w:val="nil"/>
            </w:tcBorders>
            <w:shd w:val="clear" w:color="auto" w:fill="auto"/>
            <w:noWrap/>
            <w:hideMark/>
          </w:tcPr>
          <w:p w14:paraId="76376A74"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Harm, injury, or loss.</w:t>
            </w:r>
          </w:p>
        </w:tc>
        <w:tc>
          <w:tcPr>
            <w:tcW w:w="825" w:type="dxa"/>
            <w:tcBorders>
              <w:top w:val="nil"/>
              <w:left w:val="single" w:sz="12" w:space="0" w:color="auto"/>
              <w:bottom w:val="single" w:sz="4" w:space="0" w:color="auto"/>
              <w:right w:val="single" w:sz="4" w:space="0" w:color="auto"/>
            </w:tcBorders>
            <w:shd w:val="clear" w:color="auto" w:fill="auto"/>
            <w:noWrap/>
            <w:hideMark/>
          </w:tcPr>
          <w:p w14:paraId="46FBEBB0"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440" w:type="dxa"/>
            <w:tcBorders>
              <w:top w:val="nil"/>
              <w:left w:val="nil"/>
              <w:bottom w:val="single" w:sz="4" w:space="0" w:color="auto"/>
              <w:right w:val="single" w:sz="4" w:space="0" w:color="auto"/>
            </w:tcBorders>
            <w:shd w:val="clear" w:color="auto" w:fill="auto"/>
            <w:noWrap/>
            <w:hideMark/>
          </w:tcPr>
          <w:p w14:paraId="498D890B"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philosophies</w:t>
            </w:r>
          </w:p>
        </w:tc>
        <w:tc>
          <w:tcPr>
            <w:tcW w:w="4275" w:type="dxa"/>
            <w:tcBorders>
              <w:top w:val="nil"/>
              <w:left w:val="nil"/>
              <w:bottom w:val="single" w:sz="4" w:space="0" w:color="auto"/>
              <w:right w:val="single" w:sz="4" w:space="0" w:color="auto"/>
            </w:tcBorders>
            <w:shd w:val="clear" w:color="auto" w:fill="auto"/>
            <w:noWrap/>
            <w:hideMark/>
          </w:tcPr>
          <w:p w14:paraId="55CF371F"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A set of personal or cultural beliefs or values, or particular beliefs that service as a rule to live by.</w:t>
            </w:r>
            <w:r w:rsidRPr="00450DE6">
              <w:rPr>
                <w:rFonts w:ascii="Calibri" w:eastAsia="Times New Roman" w:hAnsi="Calibri" w:cs="Times New Roman"/>
                <w:color w:val="000000"/>
              </w:rPr>
              <w:t> </w:t>
            </w:r>
          </w:p>
        </w:tc>
      </w:tr>
      <w:tr w:rsidR="005F0549" w:rsidRPr="00450DE6" w14:paraId="3C183161"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70B7E4E7"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1456" w:type="dxa"/>
            <w:tcBorders>
              <w:top w:val="nil"/>
              <w:left w:val="nil"/>
              <w:bottom w:val="single" w:sz="4" w:space="0" w:color="auto"/>
              <w:right w:val="single" w:sz="4" w:space="0" w:color="auto"/>
            </w:tcBorders>
            <w:shd w:val="clear" w:color="auto" w:fill="auto"/>
            <w:noWrap/>
            <w:hideMark/>
          </w:tcPr>
          <w:p w14:paraId="59D56EAC"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disparage</w:t>
            </w:r>
          </w:p>
        </w:tc>
        <w:tc>
          <w:tcPr>
            <w:tcW w:w="3855" w:type="dxa"/>
            <w:tcBorders>
              <w:top w:val="nil"/>
              <w:left w:val="nil"/>
              <w:bottom w:val="single" w:sz="4" w:space="0" w:color="auto"/>
              <w:right w:val="nil"/>
            </w:tcBorders>
            <w:shd w:val="clear" w:color="auto" w:fill="auto"/>
            <w:noWrap/>
            <w:hideMark/>
          </w:tcPr>
          <w:p w14:paraId="6C03A6F5"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lower in esteem or rank; degrade.</w:t>
            </w:r>
          </w:p>
        </w:tc>
        <w:tc>
          <w:tcPr>
            <w:tcW w:w="825" w:type="dxa"/>
            <w:tcBorders>
              <w:top w:val="nil"/>
              <w:left w:val="single" w:sz="12" w:space="0" w:color="auto"/>
              <w:bottom w:val="single" w:sz="4" w:space="0" w:color="auto"/>
              <w:right w:val="single" w:sz="4" w:space="0" w:color="auto"/>
            </w:tcBorders>
            <w:shd w:val="clear" w:color="auto" w:fill="auto"/>
            <w:noWrap/>
            <w:hideMark/>
          </w:tcPr>
          <w:p w14:paraId="6328E31D"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440" w:type="dxa"/>
            <w:tcBorders>
              <w:top w:val="nil"/>
              <w:left w:val="nil"/>
              <w:bottom w:val="single" w:sz="4" w:space="0" w:color="auto"/>
              <w:right w:val="single" w:sz="4" w:space="0" w:color="auto"/>
            </w:tcBorders>
            <w:shd w:val="clear" w:color="auto" w:fill="auto"/>
            <w:noWrap/>
            <w:hideMark/>
          </w:tcPr>
          <w:p w14:paraId="329DAEC5"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affiliation</w:t>
            </w:r>
          </w:p>
        </w:tc>
        <w:tc>
          <w:tcPr>
            <w:tcW w:w="4275" w:type="dxa"/>
            <w:tcBorders>
              <w:top w:val="nil"/>
              <w:left w:val="nil"/>
              <w:bottom w:val="single" w:sz="4" w:space="0" w:color="auto"/>
              <w:right w:val="single" w:sz="4" w:space="0" w:color="auto"/>
            </w:tcBorders>
            <w:shd w:val="clear" w:color="auto" w:fill="auto"/>
            <w:noWrap/>
            <w:hideMark/>
          </w:tcPr>
          <w:p w14:paraId="6646903C"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To be associated with or connected to (especially) an organization</w:t>
            </w:r>
            <w:r w:rsidRPr="00450DE6">
              <w:rPr>
                <w:rFonts w:ascii="Calibri" w:eastAsia="Times New Roman" w:hAnsi="Calibri" w:cs="Times New Roman"/>
                <w:color w:val="000000"/>
              </w:rPr>
              <w:t> </w:t>
            </w:r>
          </w:p>
        </w:tc>
      </w:tr>
      <w:tr w:rsidR="005F0549" w:rsidRPr="00450DE6" w14:paraId="469C8AC8"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072B1914" w14:textId="7E683739"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1456" w:type="dxa"/>
            <w:tcBorders>
              <w:top w:val="nil"/>
              <w:left w:val="nil"/>
              <w:bottom w:val="single" w:sz="4" w:space="0" w:color="auto"/>
              <w:right w:val="single" w:sz="4" w:space="0" w:color="auto"/>
            </w:tcBorders>
            <w:shd w:val="clear" w:color="auto" w:fill="auto"/>
            <w:noWrap/>
            <w:hideMark/>
          </w:tcPr>
          <w:p w14:paraId="1B6DC8A5"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regulation</w:t>
            </w:r>
          </w:p>
        </w:tc>
        <w:tc>
          <w:tcPr>
            <w:tcW w:w="3855" w:type="dxa"/>
            <w:tcBorders>
              <w:top w:val="nil"/>
              <w:left w:val="nil"/>
              <w:bottom w:val="single" w:sz="4" w:space="0" w:color="auto"/>
              <w:right w:val="nil"/>
            </w:tcBorders>
            <w:shd w:val="clear" w:color="auto" w:fill="auto"/>
            <w:noWrap/>
            <w:hideMark/>
          </w:tcPr>
          <w:p w14:paraId="5DB71424"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A principle, rule, or law designed to regulate behavior or conduct.</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538C9DBE"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1440" w:type="dxa"/>
            <w:tcBorders>
              <w:top w:val="nil"/>
              <w:left w:val="nil"/>
              <w:bottom w:val="single" w:sz="4" w:space="0" w:color="auto"/>
              <w:right w:val="single" w:sz="4" w:space="0" w:color="auto"/>
            </w:tcBorders>
            <w:shd w:val="clear" w:color="auto" w:fill="auto"/>
            <w:noWrap/>
            <w:hideMark/>
          </w:tcPr>
          <w:p w14:paraId="548C54BE"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express</w:t>
            </w:r>
          </w:p>
        </w:tc>
        <w:tc>
          <w:tcPr>
            <w:tcW w:w="4275" w:type="dxa"/>
            <w:tcBorders>
              <w:top w:val="nil"/>
              <w:left w:val="nil"/>
              <w:bottom w:val="single" w:sz="4" w:space="0" w:color="auto"/>
              <w:right w:val="single" w:sz="4" w:space="0" w:color="auto"/>
            </w:tcBorders>
            <w:shd w:val="clear" w:color="auto" w:fill="auto"/>
            <w:noWrap/>
            <w:hideMark/>
          </w:tcPr>
          <w:p w14:paraId="269BEB3F"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Clear, precise, and fully stated; explicit.</w:t>
            </w:r>
          </w:p>
        </w:tc>
      </w:tr>
      <w:tr w:rsidR="005F0549" w:rsidRPr="00450DE6" w14:paraId="0BE0866D"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7E84EBA6" w14:textId="44E6C476"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456" w:type="dxa"/>
            <w:tcBorders>
              <w:top w:val="nil"/>
              <w:left w:val="nil"/>
              <w:bottom w:val="single" w:sz="4" w:space="0" w:color="auto"/>
              <w:right w:val="single" w:sz="4" w:space="0" w:color="auto"/>
            </w:tcBorders>
            <w:shd w:val="clear" w:color="auto" w:fill="auto"/>
            <w:noWrap/>
            <w:hideMark/>
          </w:tcPr>
          <w:p w14:paraId="4C514D12"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sacred</w:t>
            </w:r>
          </w:p>
        </w:tc>
        <w:tc>
          <w:tcPr>
            <w:tcW w:w="3855" w:type="dxa"/>
            <w:tcBorders>
              <w:top w:val="nil"/>
              <w:left w:val="nil"/>
              <w:bottom w:val="single" w:sz="4" w:space="0" w:color="auto"/>
              <w:right w:val="nil"/>
            </w:tcBorders>
            <w:shd w:val="clear" w:color="auto" w:fill="auto"/>
            <w:noWrap/>
            <w:hideMark/>
          </w:tcPr>
          <w:p w14:paraId="6606787D"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Worthy of reverence; holy.</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21494228" w14:textId="12BA7C82"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c>
          <w:tcPr>
            <w:tcW w:w="1440" w:type="dxa"/>
            <w:tcBorders>
              <w:top w:val="nil"/>
              <w:left w:val="nil"/>
              <w:bottom w:val="single" w:sz="4" w:space="0" w:color="auto"/>
              <w:right w:val="single" w:sz="4" w:space="0" w:color="auto"/>
            </w:tcBorders>
            <w:shd w:val="clear" w:color="auto" w:fill="auto"/>
            <w:noWrap/>
            <w:hideMark/>
          </w:tcPr>
          <w:p w14:paraId="127BBDD8"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sanctity</w:t>
            </w:r>
          </w:p>
        </w:tc>
        <w:tc>
          <w:tcPr>
            <w:tcW w:w="4275" w:type="dxa"/>
            <w:tcBorders>
              <w:top w:val="nil"/>
              <w:left w:val="nil"/>
              <w:bottom w:val="single" w:sz="4" w:space="0" w:color="auto"/>
              <w:right w:val="single" w:sz="4" w:space="0" w:color="auto"/>
            </w:tcBorders>
            <w:shd w:val="clear" w:color="auto" w:fill="auto"/>
            <w:noWrap/>
            <w:hideMark/>
          </w:tcPr>
          <w:p w14:paraId="302EBB9F"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The quality or state of being holy or sacred.</w:t>
            </w:r>
            <w:r w:rsidRPr="00450DE6">
              <w:rPr>
                <w:rFonts w:ascii="Calibri" w:eastAsia="Times New Roman" w:hAnsi="Calibri" w:cs="Times New Roman"/>
                <w:color w:val="000000"/>
              </w:rPr>
              <w:t> </w:t>
            </w:r>
          </w:p>
        </w:tc>
      </w:tr>
      <w:tr w:rsidR="005F0549" w:rsidRPr="00450DE6" w14:paraId="50909ACD"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3F91B7E6" w14:textId="27EBA9D6"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1456" w:type="dxa"/>
            <w:tcBorders>
              <w:top w:val="nil"/>
              <w:left w:val="nil"/>
              <w:bottom w:val="single" w:sz="4" w:space="0" w:color="auto"/>
              <w:right w:val="single" w:sz="4" w:space="0" w:color="auto"/>
            </w:tcBorders>
            <w:shd w:val="clear" w:color="auto" w:fill="auto"/>
            <w:noWrap/>
            <w:hideMark/>
          </w:tcPr>
          <w:p w14:paraId="5448C427"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noble</w:t>
            </w:r>
          </w:p>
        </w:tc>
        <w:tc>
          <w:tcPr>
            <w:tcW w:w="3855" w:type="dxa"/>
            <w:tcBorders>
              <w:top w:val="nil"/>
              <w:left w:val="nil"/>
              <w:bottom w:val="single" w:sz="4" w:space="0" w:color="auto"/>
              <w:right w:val="nil"/>
            </w:tcBorders>
            <w:shd w:val="clear" w:color="auto" w:fill="auto"/>
            <w:noWrap/>
            <w:hideMark/>
          </w:tcPr>
          <w:p w14:paraId="0699DE98"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Of high or excellent mind, character, or virtues; not motivated by low or petty concerns.</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57FD1933" w14:textId="6BA308D3"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440" w:type="dxa"/>
            <w:tcBorders>
              <w:top w:val="nil"/>
              <w:left w:val="nil"/>
              <w:bottom w:val="single" w:sz="4" w:space="0" w:color="auto"/>
              <w:right w:val="single" w:sz="4" w:space="0" w:color="auto"/>
            </w:tcBorders>
            <w:shd w:val="clear" w:color="auto" w:fill="auto"/>
            <w:noWrap/>
            <w:hideMark/>
          </w:tcPr>
          <w:p w14:paraId="23BCAB45"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principle</w:t>
            </w:r>
          </w:p>
        </w:tc>
        <w:tc>
          <w:tcPr>
            <w:tcW w:w="4275" w:type="dxa"/>
            <w:tcBorders>
              <w:top w:val="nil"/>
              <w:left w:val="nil"/>
              <w:bottom w:val="single" w:sz="4" w:space="0" w:color="auto"/>
              <w:right w:val="single" w:sz="4" w:space="0" w:color="auto"/>
            </w:tcBorders>
            <w:shd w:val="clear" w:color="auto" w:fill="auto"/>
            <w:noWrap/>
            <w:hideMark/>
          </w:tcPr>
          <w:p w14:paraId="18034591"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A law, doctrine, or assumption on which action or behavior is based.</w:t>
            </w:r>
            <w:r w:rsidRPr="00450DE6">
              <w:rPr>
                <w:rFonts w:ascii="Calibri" w:eastAsia="Times New Roman" w:hAnsi="Calibri" w:cs="Times New Roman"/>
                <w:color w:val="000000"/>
              </w:rPr>
              <w:t> </w:t>
            </w:r>
          </w:p>
        </w:tc>
      </w:tr>
      <w:tr w:rsidR="005F0549" w:rsidRPr="00450DE6" w14:paraId="111FE53C"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568F7D1E" w14:textId="0AF2CED1"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456" w:type="dxa"/>
            <w:tcBorders>
              <w:top w:val="nil"/>
              <w:left w:val="nil"/>
              <w:bottom w:val="single" w:sz="4" w:space="0" w:color="auto"/>
              <w:right w:val="single" w:sz="4" w:space="0" w:color="auto"/>
            </w:tcBorders>
            <w:shd w:val="clear" w:color="auto" w:fill="auto"/>
            <w:noWrap/>
            <w:hideMark/>
          </w:tcPr>
          <w:p w14:paraId="59BFCF26"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redress</w:t>
            </w:r>
          </w:p>
        </w:tc>
        <w:tc>
          <w:tcPr>
            <w:tcW w:w="3855" w:type="dxa"/>
            <w:tcBorders>
              <w:top w:val="nil"/>
              <w:left w:val="nil"/>
              <w:bottom w:val="single" w:sz="4" w:space="0" w:color="auto"/>
              <w:right w:val="nil"/>
            </w:tcBorders>
            <w:shd w:val="clear" w:color="auto" w:fill="auto"/>
            <w:noWrap/>
            <w:hideMark/>
          </w:tcPr>
          <w:p w14:paraId="2E7ACA2F"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Compensation or reparation; amends.</w:t>
            </w:r>
          </w:p>
        </w:tc>
        <w:tc>
          <w:tcPr>
            <w:tcW w:w="825" w:type="dxa"/>
            <w:tcBorders>
              <w:top w:val="nil"/>
              <w:left w:val="single" w:sz="12" w:space="0" w:color="auto"/>
              <w:bottom w:val="single" w:sz="4" w:space="0" w:color="auto"/>
              <w:right w:val="single" w:sz="4" w:space="0" w:color="auto"/>
            </w:tcBorders>
            <w:shd w:val="clear" w:color="auto" w:fill="auto"/>
            <w:noWrap/>
            <w:hideMark/>
          </w:tcPr>
          <w:p w14:paraId="37AB3DB3" w14:textId="0715EE02"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440" w:type="dxa"/>
            <w:tcBorders>
              <w:top w:val="nil"/>
              <w:left w:val="nil"/>
              <w:bottom w:val="single" w:sz="4" w:space="0" w:color="auto"/>
              <w:right w:val="single" w:sz="4" w:space="0" w:color="auto"/>
            </w:tcBorders>
            <w:shd w:val="clear" w:color="auto" w:fill="auto"/>
            <w:noWrap/>
            <w:hideMark/>
          </w:tcPr>
          <w:p w14:paraId="3F6AC096"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bilateral</w:t>
            </w:r>
          </w:p>
        </w:tc>
        <w:tc>
          <w:tcPr>
            <w:tcW w:w="4275" w:type="dxa"/>
            <w:tcBorders>
              <w:top w:val="nil"/>
              <w:left w:val="nil"/>
              <w:bottom w:val="single" w:sz="4" w:space="0" w:color="auto"/>
              <w:right w:val="single" w:sz="4" w:space="0" w:color="auto"/>
            </w:tcBorders>
            <w:shd w:val="clear" w:color="auto" w:fill="auto"/>
            <w:noWrap/>
            <w:hideMark/>
          </w:tcPr>
          <w:p w14:paraId="7D6B1C0C"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Concerning or equally obligating two parties.</w:t>
            </w:r>
            <w:r w:rsidRPr="00450DE6">
              <w:rPr>
                <w:rFonts w:ascii="Calibri" w:eastAsia="Times New Roman" w:hAnsi="Calibri" w:cs="Times New Roman"/>
                <w:color w:val="000000"/>
              </w:rPr>
              <w:t> </w:t>
            </w:r>
          </w:p>
        </w:tc>
      </w:tr>
      <w:tr w:rsidR="005F0549" w:rsidRPr="00450DE6" w14:paraId="0AFD77A6"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0FA9DF6E"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1456" w:type="dxa"/>
            <w:tcBorders>
              <w:top w:val="nil"/>
              <w:left w:val="nil"/>
              <w:bottom w:val="single" w:sz="4" w:space="0" w:color="auto"/>
              <w:right w:val="single" w:sz="4" w:space="0" w:color="auto"/>
            </w:tcBorders>
            <w:shd w:val="clear" w:color="auto" w:fill="auto"/>
            <w:noWrap/>
            <w:hideMark/>
          </w:tcPr>
          <w:p w14:paraId="02ED2E05"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hideMark/>
          </w:tcPr>
          <w:p w14:paraId="600B2BFD"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27A36F44" w14:textId="51F5AB61"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1440" w:type="dxa"/>
            <w:tcBorders>
              <w:top w:val="nil"/>
              <w:left w:val="nil"/>
              <w:bottom w:val="single" w:sz="4" w:space="0" w:color="auto"/>
              <w:right w:val="single" w:sz="4" w:space="0" w:color="auto"/>
            </w:tcBorders>
            <w:shd w:val="clear" w:color="auto" w:fill="auto"/>
            <w:noWrap/>
            <w:hideMark/>
          </w:tcPr>
          <w:p w14:paraId="43F052D4"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reversed</w:t>
            </w:r>
          </w:p>
        </w:tc>
        <w:tc>
          <w:tcPr>
            <w:tcW w:w="4275" w:type="dxa"/>
            <w:tcBorders>
              <w:top w:val="nil"/>
              <w:left w:val="nil"/>
              <w:bottom w:val="single" w:sz="4" w:space="0" w:color="auto"/>
              <w:right w:val="single" w:sz="4" w:space="0" w:color="auto"/>
            </w:tcBorders>
            <w:shd w:val="clear" w:color="auto" w:fill="auto"/>
            <w:noWrap/>
            <w:hideMark/>
          </w:tcPr>
          <w:p w14:paraId="75A661A9"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In law, to revoke or cancel (a decision such as a verdict).</w:t>
            </w:r>
          </w:p>
        </w:tc>
      </w:tr>
      <w:tr w:rsidR="005F0549" w:rsidRPr="00450DE6" w14:paraId="20A1D1E0"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38E3DA78"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1456" w:type="dxa"/>
            <w:tcBorders>
              <w:top w:val="nil"/>
              <w:left w:val="nil"/>
              <w:bottom w:val="single" w:sz="4" w:space="0" w:color="auto"/>
              <w:right w:val="single" w:sz="4" w:space="0" w:color="auto"/>
            </w:tcBorders>
            <w:shd w:val="clear" w:color="auto" w:fill="auto"/>
            <w:noWrap/>
            <w:hideMark/>
          </w:tcPr>
          <w:p w14:paraId="18410C28"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hideMark/>
          </w:tcPr>
          <w:p w14:paraId="127C16DA"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3D856523" w14:textId="309EA30D"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1440" w:type="dxa"/>
            <w:tcBorders>
              <w:top w:val="nil"/>
              <w:left w:val="nil"/>
              <w:bottom w:val="single" w:sz="4" w:space="0" w:color="auto"/>
              <w:right w:val="single" w:sz="4" w:space="0" w:color="auto"/>
            </w:tcBorders>
            <w:shd w:val="clear" w:color="auto" w:fill="auto"/>
            <w:noWrap/>
            <w:hideMark/>
          </w:tcPr>
          <w:p w14:paraId="4185D58B"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infringed</w:t>
            </w:r>
          </w:p>
        </w:tc>
        <w:tc>
          <w:tcPr>
            <w:tcW w:w="4275" w:type="dxa"/>
            <w:tcBorders>
              <w:top w:val="nil"/>
              <w:left w:val="nil"/>
              <w:bottom w:val="single" w:sz="4" w:space="0" w:color="auto"/>
              <w:right w:val="single" w:sz="4" w:space="0" w:color="auto"/>
            </w:tcBorders>
            <w:shd w:val="clear" w:color="auto" w:fill="auto"/>
            <w:noWrap/>
            <w:hideMark/>
          </w:tcPr>
          <w:p w14:paraId="465E0991"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To violate, break, or go beyond the limits of.</w:t>
            </w:r>
            <w:r w:rsidRPr="00450DE6">
              <w:rPr>
                <w:rFonts w:ascii="Calibri" w:eastAsia="Times New Roman" w:hAnsi="Calibri" w:cs="Times New Roman"/>
                <w:color w:val="000000"/>
              </w:rPr>
              <w:t> </w:t>
            </w:r>
          </w:p>
        </w:tc>
      </w:tr>
      <w:tr w:rsidR="005F0549" w:rsidRPr="00450DE6" w14:paraId="7DB8B271"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7AFD3BD0"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1456" w:type="dxa"/>
            <w:tcBorders>
              <w:top w:val="nil"/>
              <w:left w:val="nil"/>
              <w:bottom w:val="single" w:sz="4" w:space="0" w:color="auto"/>
              <w:right w:val="single" w:sz="4" w:space="0" w:color="auto"/>
            </w:tcBorders>
            <w:shd w:val="clear" w:color="auto" w:fill="auto"/>
            <w:noWrap/>
            <w:hideMark/>
          </w:tcPr>
          <w:p w14:paraId="5FEC98AA"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hideMark/>
          </w:tcPr>
          <w:p w14:paraId="12A9A693"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11680FB3" w14:textId="50C13B92"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440" w:type="dxa"/>
            <w:tcBorders>
              <w:top w:val="nil"/>
              <w:left w:val="nil"/>
              <w:bottom w:val="single" w:sz="4" w:space="0" w:color="auto"/>
              <w:right w:val="single" w:sz="4" w:space="0" w:color="auto"/>
            </w:tcBorders>
            <w:shd w:val="clear" w:color="auto" w:fill="auto"/>
            <w:noWrap/>
            <w:hideMark/>
          </w:tcPr>
          <w:p w14:paraId="602F05A4"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adjudication</w:t>
            </w:r>
          </w:p>
        </w:tc>
        <w:tc>
          <w:tcPr>
            <w:tcW w:w="4275" w:type="dxa"/>
            <w:tcBorders>
              <w:top w:val="nil"/>
              <w:left w:val="nil"/>
              <w:bottom w:val="single" w:sz="4" w:space="0" w:color="auto"/>
              <w:right w:val="single" w:sz="4" w:space="0" w:color="auto"/>
            </w:tcBorders>
            <w:shd w:val="clear" w:color="auto" w:fill="auto"/>
            <w:noWrap/>
            <w:hideMark/>
          </w:tcPr>
          <w:p w14:paraId="06F84697"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Something settled by a judge or judges or in a judicial procedure.</w:t>
            </w:r>
            <w:r w:rsidRPr="00450DE6">
              <w:rPr>
                <w:rFonts w:ascii="Calibri" w:eastAsia="Times New Roman" w:hAnsi="Calibri" w:cs="Times New Roman"/>
                <w:color w:val="000000"/>
              </w:rPr>
              <w:t> </w:t>
            </w:r>
          </w:p>
        </w:tc>
      </w:tr>
      <w:tr w:rsidR="005F0549" w:rsidRPr="00450DE6" w14:paraId="5D61AB7E"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31A2A3F8"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1456" w:type="dxa"/>
            <w:tcBorders>
              <w:top w:val="nil"/>
              <w:left w:val="nil"/>
              <w:bottom w:val="single" w:sz="4" w:space="0" w:color="auto"/>
              <w:right w:val="single" w:sz="4" w:space="0" w:color="auto"/>
            </w:tcBorders>
            <w:shd w:val="clear" w:color="auto" w:fill="auto"/>
            <w:noWrap/>
            <w:hideMark/>
          </w:tcPr>
          <w:p w14:paraId="477931F1"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hideMark/>
          </w:tcPr>
          <w:p w14:paraId="0F7DC405"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0A90009E" w14:textId="77777777" w:rsidR="00D11D11" w:rsidRDefault="00D11D11" w:rsidP="005F0549">
            <w:pPr>
              <w:spacing w:after="0" w:line="240" w:lineRule="auto"/>
              <w:jc w:val="center"/>
              <w:rPr>
                <w:rFonts w:ascii="Calibri" w:eastAsia="Times New Roman" w:hAnsi="Calibri" w:cs="Times New Roman"/>
                <w:color w:val="000000"/>
              </w:rPr>
            </w:pPr>
          </w:p>
          <w:p w14:paraId="66D5A2A5" w14:textId="31EFD726"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71</w:t>
            </w:r>
          </w:p>
        </w:tc>
        <w:tc>
          <w:tcPr>
            <w:tcW w:w="1440" w:type="dxa"/>
            <w:tcBorders>
              <w:top w:val="nil"/>
              <w:left w:val="nil"/>
              <w:bottom w:val="single" w:sz="4" w:space="0" w:color="auto"/>
              <w:right w:val="single" w:sz="4" w:space="0" w:color="auto"/>
            </w:tcBorders>
            <w:shd w:val="clear" w:color="auto" w:fill="auto"/>
            <w:noWrap/>
            <w:hideMark/>
          </w:tcPr>
          <w:p w14:paraId="02AB8EC0" w14:textId="77777777" w:rsidR="00D11D11" w:rsidRDefault="00D11D11" w:rsidP="005F0549">
            <w:pPr>
              <w:spacing w:after="0" w:line="240" w:lineRule="auto"/>
              <w:jc w:val="center"/>
              <w:rPr>
                <w:rFonts w:ascii="Calibri" w:eastAsia="Times New Roman" w:hAnsi="Calibri" w:cs="Times New Roman"/>
                <w:color w:val="000000"/>
              </w:rPr>
            </w:pPr>
          </w:p>
          <w:p w14:paraId="2CCD81F0"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abridgment</w:t>
            </w:r>
          </w:p>
        </w:tc>
        <w:tc>
          <w:tcPr>
            <w:tcW w:w="4275" w:type="dxa"/>
            <w:tcBorders>
              <w:top w:val="nil"/>
              <w:left w:val="nil"/>
              <w:bottom w:val="single" w:sz="4" w:space="0" w:color="auto"/>
              <w:right w:val="single" w:sz="4" w:space="0" w:color="auto"/>
            </w:tcBorders>
            <w:shd w:val="clear" w:color="auto" w:fill="auto"/>
            <w:noWrap/>
            <w:hideMark/>
          </w:tcPr>
          <w:p w14:paraId="14E079C1" w14:textId="77777777" w:rsidR="00D11D11" w:rsidRDefault="00D11D11" w:rsidP="005F0549">
            <w:pPr>
              <w:spacing w:after="0" w:line="240" w:lineRule="auto"/>
              <w:rPr>
                <w:rFonts w:ascii="Calibri" w:eastAsia="Times New Roman" w:hAnsi="Calibri" w:cs="Times New Roman"/>
                <w:color w:val="000000"/>
              </w:rPr>
            </w:pPr>
          </w:p>
          <w:p w14:paraId="62FEA08A"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The act or process to lessen, curtail, or deprive.</w:t>
            </w:r>
          </w:p>
        </w:tc>
      </w:tr>
      <w:tr w:rsidR="005F0549" w:rsidRPr="00450DE6" w14:paraId="4B298B38"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06FCE70E"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1456" w:type="dxa"/>
            <w:tcBorders>
              <w:top w:val="nil"/>
              <w:left w:val="nil"/>
              <w:bottom w:val="single" w:sz="4" w:space="0" w:color="auto"/>
              <w:right w:val="single" w:sz="4" w:space="0" w:color="auto"/>
            </w:tcBorders>
            <w:shd w:val="clear" w:color="auto" w:fill="auto"/>
            <w:noWrap/>
            <w:hideMark/>
          </w:tcPr>
          <w:p w14:paraId="2F38B53E" w14:textId="77777777" w:rsidR="005F0549" w:rsidRPr="00450DE6" w:rsidRDefault="005F0549" w:rsidP="005F0549">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hideMark/>
          </w:tcPr>
          <w:p w14:paraId="2D8DC4FF"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32CB2A54" w14:textId="3E82C91F"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1440" w:type="dxa"/>
            <w:tcBorders>
              <w:top w:val="nil"/>
              <w:left w:val="nil"/>
              <w:bottom w:val="single" w:sz="4" w:space="0" w:color="auto"/>
              <w:right w:val="single" w:sz="4" w:space="0" w:color="auto"/>
            </w:tcBorders>
            <w:shd w:val="clear" w:color="auto" w:fill="auto"/>
            <w:noWrap/>
            <w:hideMark/>
          </w:tcPr>
          <w:p w14:paraId="37239B21"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deference</w:t>
            </w:r>
          </w:p>
        </w:tc>
        <w:tc>
          <w:tcPr>
            <w:tcW w:w="4275" w:type="dxa"/>
            <w:tcBorders>
              <w:top w:val="nil"/>
              <w:left w:val="nil"/>
              <w:bottom w:val="single" w:sz="4" w:space="0" w:color="auto"/>
              <w:right w:val="single" w:sz="4" w:space="0" w:color="auto"/>
            </w:tcBorders>
            <w:shd w:val="clear" w:color="auto" w:fill="auto"/>
            <w:noWrap/>
            <w:hideMark/>
          </w:tcPr>
          <w:p w14:paraId="6C0306D2"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Respectful or polite regard.</w:t>
            </w:r>
            <w:r w:rsidRPr="00450DE6">
              <w:rPr>
                <w:rFonts w:ascii="Calibri" w:eastAsia="Times New Roman" w:hAnsi="Calibri" w:cs="Times New Roman"/>
                <w:color w:val="000000"/>
              </w:rPr>
              <w:t> </w:t>
            </w:r>
          </w:p>
        </w:tc>
      </w:tr>
      <w:tr w:rsidR="005F0549" w:rsidRPr="00450DE6" w14:paraId="0FD2E818" w14:textId="77777777" w:rsidTr="005F0549">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hideMark/>
          </w:tcPr>
          <w:p w14:paraId="13CEB099"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56" w:type="dxa"/>
            <w:tcBorders>
              <w:top w:val="nil"/>
              <w:left w:val="nil"/>
              <w:bottom w:val="single" w:sz="4" w:space="0" w:color="auto"/>
              <w:right w:val="single" w:sz="4" w:space="0" w:color="auto"/>
            </w:tcBorders>
            <w:shd w:val="clear" w:color="auto" w:fill="auto"/>
            <w:noWrap/>
            <w:hideMark/>
          </w:tcPr>
          <w:p w14:paraId="7B599B78"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3855" w:type="dxa"/>
            <w:tcBorders>
              <w:top w:val="nil"/>
              <w:left w:val="nil"/>
              <w:bottom w:val="single" w:sz="4" w:space="0" w:color="auto"/>
              <w:right w:val="nil"/>
            </w:tcBorders>
            <w:shd w:val="clear" w:color="auto" w:fill="auto"/>
            <w:noWrap/>
            <w:hideMark/>
          </w:tcPr>
          <w:p w14:paraId="37AE4C25" w14:textId="77777777" w:rsidR="005F0549" w:rsidRPr="00450DE6" w:rsidRDefault="005F0549" w:rsidP="005F0549">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hideMark/>
          </w:tcPr>
          <w:p w14:paraId="34AC0387" w14:textId="56432785" w:rsidR="005F0549" w:rsidRPr="00450DE6" w:rsidRDefault="00D11D11"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bookmarkStart w:id="2" w:name="_GoBack"/>
            <w:bookmarkEnd w:id="2"/>
          </w:p>
        </w:tc>
        <w:tc>
          <w:tcPr>
            <w:tcW w:w="1440" w:type="dxa"/>
            <w:tcBorders>
              <w:top w:val="nil"/>
              <w:left w:val="nil"/>
              <w:bottom w:val="single" w:sz="4" w:space="0" w:color="auto"/>
              <w:right w:val="single" w:sz="4" w:space="0" w:color="auto"/>
            </w:tcBorders>
            <w:shd w:val="clear" w:color="auto" w:fill="auto"/>
            <w:noWrap/>
            <w:hideMark/>
          </w:tcPr>
          <w:p w14:paraId="461034F3" w14:textId="77777777" w:rsidR="005F0549" w:rsidRPr="00450DE6" w:rsidRDefault="005F0549" w:rsidP="005F054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subordinate</w:t>
            </w:r>
          </w:p>
        </w:tc>
        <w:tc>
          <w:tcPr>
            <w:tcW w:w="4275" w:type="dxa"/>
            <w:tcBorders>
              <w:top w:val="nil"/>
              <w:left w:val="nil"/>
              <w:bottom w:val="single" w:sz="4" w:space="0" w:color="auto"/>
              <w:right w:val="single" w:sz="4" w:space="0" w:color="auto"/>
            </w:tcBorders>
            <w:shd w:val="clear" w:color="auto" w:fill="auto"/>
            <w:noWrap/>
            <w:hideMark/>
          </w:tcPr>
          <w:p w14:paraId="76CC1F1F" w14:textId="77777777" w:rsidR="005F0549" w:rsidRPr="00450DE6" w:rsidRDefault="005F0549" w:rsidP="005F0549">
            <w:pPr>
              <w:spacing w:after="0" w:line="240" w:lineRule="auto"/>
              <w:rPr>
                <w:rFonts w:ascii="Calibri" w:eastAsia="Times New Roman" w:hAnsi="Calibri" w:cs="Times New Roman"/>
                <w:color w:val="000000"/>
              </w:rPr>
            </w:pPr>
            <w:r>
              <w:rPr>
                <w:rFonts w:ascii="Calibri" w:eastAsia="Times New Roman" w:hAnsi="Calibri" w:cs="Times New Roman"/>
                <w:color w:val="000000"/>
              </w:rPr>
              <w:t>To treat as or put in a position of lesser rank or importance.</w:t>
            </w:r>
          </w:p>
        </w:tc>
      </w:tr>
    </w:tbl>
    <w:p w14:paraId="291E8FB3" w14:textId="77777777" w:rsidR="005F0549" w:rsidRDefault="005F0549" w:rsidP="002B5A1D">
      <w:pPr>
        <w:suppressLineNumbers/>
        <w:rPr>
          <w:rFonts w:ascii="Baskerville Old Face" w:hAnsi="Baskerville Old Face"/>
          <w:sz w:val="32"/>
          <w:szCs w:val="32"/>
        </w:rPr>
      </w:pPr>
    </w:p>
    <w:p w14:paraId="147B9B99" w14:textId="77777777" w:rsidR="005F0549" w:rsidRDefault="005F0549" w:rsidP="002B5A1D">
      <w:pPr>
        <w:suppressLineNumbers/>
        <w:rPr>
          <w:rFonts w:ascii="Baskerville Old Face" w:hAnsi="Baskerville Old Face"/>
          <w:b/>
        </w:rPr>
      </w:pPr>
    </w:p>
    <w:p w14:paraId="650D00B1" w14:textId="77777777" w:rsidR="002C4DC5" w:rsidRPr="005F0549" w:rsidRDefault="00BB00CE" w:rsidP="002B5A1D">
      <w:pPr>
        <w:suppressLineNumbers/>
        <w:rPr>
          <w:rFonts w:ascii="Baskerville Old Face" w:hAnsi="Baskerville Old Face"/>
          <w:b/>
        </w:rPr>
      </w:pPr>
      <w:r w:rsidRPr="005F0549">
        <w:rPr>
          <w:rFonts w:ascii="Baskerville Old Face" w:hAnsi="Baskerville Old Face"/>
          <w:b/>
        </w:rPr>
        <w:t xml:space="preserve">Writing </w:t>
      </w:r>
      <w:r w:rsidR="006B190A" w:rsidRPr="005F0549">
        <w:rPr>
          <w:rFonts w:ascii="Baskerville Old Face" w:hAnsi="Baskerville Old Face"/>
          <w:b/>
        </w:rPr>
        <w:t>Task</w:t>
      </w:r>
      <w:r w:rsidRPr="005F0549">
        <w:rPr>
          <w:rFonts w:ascii="Baskerville Old Face" w:hAnsi="Baskerville Old Face"/>
          <w:b/>
        </w:rPr>
        <w:t>:</w:t>
      </w:r>
      <w:r w:rsidR="00120398" w:rsidRPr="005F0549">
        <w:rPr>
          <w:rFonts w:ascii="Baskerville Old Face" w:hAnsi="Baskerville Old Face"/>
          <w:b/>
        </w:rPr>
        <w:t xml:space="preserve">  </w:t>
      </w:r>
    </w:p>
    <w:p w14:paraId="3EE06469" w14:textId="77777777" w:rsidR="00843A47" w:rsidRPr="00843A47" w:rsidRDefault="00843A47" w:rsidP="00843A47">
      <w:pPr>
        <w:suppressLineNumbers/>
        <w:rPr>
          <w:rFonts w:ascii="Baskerville Old Face" w:hAnsi="Baskerville Old Face"/>
        </w:rPr>
      </w:pPr>
      <w:r w:rsidRPr="00843A47">
        <w:rPr>
          <w:rFonts w:ascii="Baskerville Old Face" w:hAnsi="Baskerville Old Face"/>
        </w:rPr>
        <w:t>In the dissent in Griswold, Justice Stewart makes a clear claim against the majority: “Unless the solemn process of constitutional adjudication is to descend to the level of a play on words, there is not involved here any abridgment of the freedom of speech, or of the press; or the right of the people peaceably to assemble, and to petition the Government for a redress of grievances. No soldier has been quartered in any house. There has been no search, and no seizure. Nobody has been compelled to be a witness against himself.</w:t>
      </w:r>
      <w:r w:rsidRPr="00843A47">
        <w:rPr>
          <w:rFonts w:ascii="Baskerville Old Face" w:hAnsi="Baskerville Old Face"/>
          <w:vertAlign w:val="superscript"/>
        </w:rPr>
        <w:t xml:space="preserve"> </w:t>
      </w:r>
      <w:r w:rsidRPr="00843A47">
        <w:rPr>
          <w:rFonts w:ascii="Baskerville Old Face" w:hAnsi="Baskerville Old Face"/>
        </w:rPr>
        <w:t xml:space="preserve">“  </w:t>
      </w:r>
    </w:p>
    <w:p w14:paraId="4178EF61" w14:textId="77777777" w:rsidR="00843A47" w:rsidRPr="00843A47" w:rsidRDefault="00843A47" w:rsidP="00843A47">
      <w:pPr>
        <w:suppressLineNumbers/>
        <w:rPr>
          <w:rFonts w:ascii="Baskerville Old Face" w:hAnsi="Baskerville Old Face"/>
        </w:rPr>
      </w:pPr>
      <w:r w:rsidRPr="00843A47">
        <w:rPr>
          <w:rFonts w:ascii="Baskerville Old Face" w:hAnsi="Baskerville Old Face"/>
        </w:rPr>
        <w:t>In approximately 300-400 words, explain how the Supreme Court majority in this case decided that it was appropriate to use the 1</w:t>
      </w:r>
      <w:r w:rsidRPr="00843A47">
        <w:rPr>
          <w:rFonts w:ascii="Baskerville Old Face" w:hAnsi="Baskerville Old Face"/>
          <w:vertAlign w:val="superscript"/>
        </w:rPr>
        <w:t>st</w:t>
      </w:r>
      <w:r w:rsidRPr="00843A47">
        <w:rPr>
          <w:rFonts w:ascii="Baskerville Old Face" w:hAnsi="Baskerville Old Face"/>
        </w:rPr>
        <w:t>, 3</w:t>
      </w:r>
      <w:r w:rsidRPr="00843A47">
        <w:rPr>
          <w:rFonts w:ascii="Baskerville Old Face" w:hAnsi="Baskerville Old Face"/>
          <w:vertAlign w:val="superscript"/>
        </w:rPr>
        <w:t>rd</w:t>
      </w:r>
      <w:r w:rsidRPr="00843A47">
        <w:rPr>
          <w:rFonts w:ascii="Baskerville Old Face" w:hAnsi="Baskerville Old Face"/>
        </w:rPr>
        <w:t>, 4</w:t>
      </w:r>
      <w:r w:rsidRPr="00843A47">
        <w:rPr>
          <w:rFonts w:ascii="Baskerville Old Face" w:hAnsi="Baskerville Old Face"/>
          <w:vertAlign w:val="superscript"/>
        </w:rPr>
        <w:t>th</w:t>
      </w:r>
      <w:r w:rsidRPr="00843A47">
        <w:rPr>
          <w:rFonts w:ascii="Baskerville Old Face" w:hAnsi="Baskerville Old Face"/>
        </w:rPr>
        <w:t>, 5</w:t>
      </w:r>
      <w:r w:rsidRPr="00843A47">
        <w:rPr>
          <w:rFonts w:ascii="Baskerville Old Face" w:hAnsi="Baskerville Old Face"/>
          <w:vertAlign w:val="superscript"/>
        </w:rPr>
        <w:t>th</w:t>
      </w:r>
      <w:r w:rsidRPr="00843A47">
        <w:rPr>
          <w:rFonts w:ascii="Baskerville Old Face" w:hAnsi="Baskerville Old Face"/>
        </w:rPr>
        <w:t>, and 9</w:t>
      </w:r>
      <w:r w:rsidRPr="00843A47">
        <w:rPr>
          <w:rFonts w:ascii="Baskerville Old Face" w:hAnsi="Baskerville Old Face"/>
          <w:vertAlign w:val="superscript"/>
        </w:rPr>
        <w:t>th</w:t>
      </w:r>
      <w:r w:rsidRPr="00843A47">
        <w:rPr>
          <w:rFonts w:ascii="Baskerville Old Face" w:hAnsi="Baskerville Old Face"/>
        </w:rPr>
        <w:t xml:space="preserve"> Amendments to justify a penumbra of privacy and find in favor of Griswold.  In other words, where did the justices “find” the right to privacy? (Your audience for this is other 12</w:t>
      </w:r>
      <w:r w:rsidRPr="00843A47">
        <w:rPr>
          <w:rFonts w:ascii="Baskerville Old Face" w:hAnsi="Baskerville Old Face"/>
          <w:vertAlign w:val="superscript"/>
        </w:rPr>
        <w:t>th</w:t>
      </w:r>
      <w:r w:rsidRPr="00843A47">
        <w:rPr>
          <w:rFonts w:ascii="Baskerville Old Face" w:hAnsi="Baskerville Old Face"/>
        </w:rPr>
        <w:t xml:space="preserve"> grade students who have not yet learned about this case.)</w:t>
      </w:r>
    </w:p>
    <w:p w14:paraId="578430E8" w14:textId="77777777" w:rsidR="00843A47" w:rsidRPr="005F0549" w:rsidRDefault="00843A47" w:rsidP="00843A47">
      <w:pPr>
        <w:suppressLineNumbers/>
        <w:rPr>
          <w:rFonts w:ascii="Baskerville Old Face" w:hAnsi="Baskerville Old Face"/>
          <w:b/>
        </w:rPr>
      </w:pPr>
      <w:r w:rsidRPr="005F0549">
        <w:rPr>
          <w:rFonts w:ascii="Baskerville Old Face" w:hAnsi="Baskerville Old Face"/>
          <w:b/>
        </w:rPr>
        <w:t>Writing Checklist:</w:t>
      </w:r>
    </w:p>
    <w:p w14:paraId="055517DD" w14:textId="77777777" w:rsidR="00843A47" w:rsidRPr="00843A47" w:rsidRDefault="00843A47" w:rsidP="00843A47">
      <w:pPr>
        <w:numPr>
          <w:ilvl w:val="0"/>
          <w:numId w:val="8"/>
        </w:numPr>
        <w:suppressLineNumbers/>
        <w:rPr>
          <w:rFonts w:ascii="Baskerville Old Face" w:hAnsi="Baskerville Old Face"/>
        </w:rPr>
      </w:pPr>
      <w:r w:rsidRPr="00843A47">
        <w:rPr>
          <w:rFonts w:ascii="Baskerville Old Face" w:hAnsi="Baskerville Old Face"/>
        </w:rPr>
        <w:t>In this informational piece, please make sure to cite the case opinion with at least two quotes and three paraphrases.</w:t>
      </w:r>
    </w:p>
    <w:p w14:paraId="2C813C1F" w14:textId="77777777" w:rsidR="00843A47" w:rsidRPr="00843A47" w:rsidRDefault="00843A47" w:rsidP="00843A47">
      <w:pPr>
        <w:numPr>
          <w:ilvl w:val="1"/>
          <w:numId w:val="8"/>
        </w:numPr>
        <w:suppressLineNumbers/>
        <w:rPr>
          <w:rFonts w:ascii="Baskerville Old Face" w:hAnsi="Baskerville Old Face"/>
        </w:rPr>
      </w:pPr>
      <w:r w:rsidRPr="00843A47">
        <w:rPr>
          <w:rFonts w:ascii="Baskerville Old Face" w:hAnsi="Baskerville Old Face"/>
        </w:rPr>
        <w:t xml:space="preserve">For each, remember to appropriately </w:t>
      </w:r>
      <w:r w:rsidRPr="00843A47">
        <w:rPr>
          <w:rFonts w:ascii="Baskerville Old Face" w:hAnsi="Baskerville Old Face"/>
          <w:u w:val="single"/>
        </w:rPr>
        <w:t>introduce</w:t>
      </w:r>
      <w:r w:rsidRPr="00843A47">
        <w:rPr>
          <w:rFonts w:ascii="Baskerville Old Face" w:hAnsi="Baskerville Old Face"/>
        </w:rPr>
        <w:t xml:space="preserve"> and </w:t>
      </w:r>
      <w:r w:rsidRPr="00843A47">
        <w:rPr>
          <w:rFonts w:ascii="Baskerville Old Face" w:hAnsi="Baskerville Old Face"/>
          <w:u w:val="single"/>
        </w:rPr>
        <w:t>explain</w:t>
      </w:r>
      <w:r w:rsidRPr="00843A47">
        <w:rPr>
          <w:rFonts w:ascii="Baskerville Old Face" w:hAnsi="Baskerville Old Face"/>
        </w:rPr>
        <w:t xml:space="preserve"> the quote or paraphrase.</w:t>
      </w:r>
    </w:p>
    <w:p w14:paraId="74EC4BFF" w14:textId="77777777" w:rsidR="00843A47" w:rsidRPr="00843A47" w:rsidRDefault="00843A47" w:rsidP="00843A47">
      <w:pPr>
        <w:numPr>
          <w:ilvl w:val="0"/>
          <w:numId w:val="8"/>
        </w:numPr>
        <w:suppressLineNumbers/>
        <w:rPr>
          <w:rFonts w:ascii="Baskerville Old Face" w:hAnsi="Baskerville Old Face"/>
        </w:rPr>
      </w:pPr>
      <w:r w:rsidRPr="00843A47">
        <w:rPr>
          <w:rFonts w:ascii="Baskerville Old Face" w:hAnsi="Baskerville Old Face"/>
        </w:rPr>
        <w:t>Consider the ways in which the justices on the majority used the case law on each amendment together in unison to produce the penumbra of privacy.  Use a logical model to trace this argument rather than treating each amendment separately and creating a laundry list of evidence.</w:t>
      </w:r>
    </w:p>
    <w:p w14:paraId="282C7491" w14:textId="77777777" w:rsidR="005F0549" w:rsidRDefault="00843A47" w:rsidP="005F0549">
      <w:pPr>
        <w:numPr>
          <w:ilvl w:val="1"/>
          <w:numId w:val="8"/>
        </w:numPr>
        <w:suppressLineNumbers/>
        <w:rPr>
          <w:rFonts w:ascii="Baskerville Old Face" w:hAnsi="Baskerville Old Face"/>
        </w:rPr>
      </w:pPr>
      <w:r w:rsidRPr="00843A47">
        <w:rPr>
          <w:rFonts w:ascii="Baskerville Old Face" w:hAnsi="Baskerville Old Face"/>
        </w:rPr>
        <w:t>Use connecting and transition words and phrases in your writing.</w:t>
      </w:r>
    </w:p>
    <w:p w14:paraId="4C80AD20" w14:textId="77777777" w:rsidR="005F0549" w:rsidRDefault="006B2A05" w:rsidP="005F0549">
      <w:pPr>
        <w:suppressLineNumbers/>
        <w:rPr>
          <w:rFonts w:ascii="Baskerville Old Face" w:hAnsi="Baskerville Old Face"/>
        </w:rPr>
      </w:pPr>
      <w:r w:rsidRPr="005F0549">
        <w:rPr>
          <w:rFonts w:ascii="Baskerville Old Face" w:hAnsi="Baskerville Old Face"/>
          <w:b/>
        </w:rPr>
        <w:t>Writing Sample:</w:t>
      </w:r>
    </w:p>
    <w:p w14:paraId="7F7E8547" w14:textId="77777777" w:rsidR="005F0549" w:rsidRDefault="006B2A05">
      <w:pPr>
        <w:suppressLineNumbers/>
        <w:rPr>
          <w:rFonts w:ascii="Baskerville Old Face" w:hAnsi="Baskerville Old Face"/>
          <w:i/>
        </w:rPr>
      </w:pPr>
      <w:r>
        <w:rPr>
          <w:rFonts w:ascii="Baskerville Old Face" w:hAnsi="Baskerville Old Face"/>
        </w:rPr>
        <w:t xml:space="preserve">Justice Potter Stewart’s dissent in the Supreme Court case, Griswold v. Connecticut, is </w:t>
      </w:r>
      <w:r w:rsidR="00BC6090">
        <w:rPr>
          <w:rFonts w:ascii="Baskerville Old Face" w:hAnsi="Baskerville Old Face"/>
        </w:rPr>
        <w:t>biting</w:t>
      </w:r>
      <w:r>
        <w:rPr>
          <w:rFonts w:ascii="Baskerville Old Face" w:hAnsi="Baskerville Old Face"/>
        </w:rPr>
        <w:t xml:space="preserve">. He believes that the majority </w:t>
      </w:r>
      <w:r w:rsidR="00BC6090">
        <w:rPr>
          <w:rFonts w:ascii="Baskerville Old Face" w:hAnsi="Baskerville Old Face"/>
        </w:rPr>
        <w:t xml:space="preserve">on the Court </w:t>
      </w:r>
      <w:r>
        <w:rPr>
          <w:rFonts w:ascii="Baskerville Old Face" w:hAnsi="Baskerville Old Face"/>
        </w:rPr>
        <w:t xml:space="preserve">overstepped their </w:t>
      </w:r>
      <w:r w:rsidR="00BC6090">
        <w:rPr>
          <w:rFonts w:ascii="Baskerville Old Face" w:hAnsi="Baskerville Old Face"/>
        </w:rPr>
        <w:t>authority to decide cases based upon the Constitution, using instead modern community standards.  But the majority opinion uses a persuasive line of reasoning to sidestep the words of the Constitution and</w:t>
      </w:r>
      <w:r w:rsidR="0083480D">
        <w:rPr>
          <w:rFonts w:ascii="Baskerville Old Face" w:hAnsi="Baskerville Old Face"/>
        </w:rPr>
        <w:t xml:space="preserve"> rather</w:t>
      </w:r>
      <w:r w:rsidR="00BC6090">
        <w:rPr>
          <w:rFonts w:ascii="Baskerville Old Face" w:hAnsi="Baskerville Old Face"/>
        </w:rPr>
        <w:t xml:space="preserve"> to rule on the basis of a zone of privacy by stating, “specific guarantees in the Bill of Rights have penumbras, formed by emanations from those guarantees that help give them life and substance” (lines 29-30).  In order to justify these penumbras, the Court explains how many of the amendments in the Bill of Rights suggest privacy, even though the word itself is not present.  First, the Court explains that</w:t>
      </w:r>
      <w:r w:rsidR="0083480D">
        <w:rPr>
          <w:rFonts w:ascii="Baskerville Old Face" w:hAnsi="Baskerville Old Face"/>
        </w:rPr>
        <w:t xml:space="preserve"> it has </w:t>
      </w:r>
      <w:r w:rsidR="0083480D">
        <w:rPr>
          <w:rFonts w:ascii="Baskerville Old Face" w:hAnsi="Baskerville Old Face"/>
        </w:rPr>
        <w:lastRenderedPageBreak/>
        <w:t>previously found</w:t>
      </w:r>
      <w:r w:rsidR="00BC6090">
        <w:rPr>
          <w:rFonts w:ascii="Baskerville Old Face" w:hAnsi="Baskerville Old Face"/>
        </w:rPr>
        <w:t xml:space="preserve"> many rights </w:t>
      </w:r>
      <w:r w:rsidR="0083480D">
        <w:rPr>
          <w:rFonts w:ascii="Baskerville Old Face" w:hAnsi="Baskerville Old Face"/>
        </w:rPr>
        <w:t>to be</w:t>
      </w:r>
      <w:r w:rsidR="00BC6090">
        <w:rPr>
          <w:rFonts w:ascii="Baskerville Old Face" w:hAnsi="Baskerville Old Face"/>
        </w:rPr>
        <w:t xml:space="preserve"> construed </w:t>
      </w:r>
      <w:r w:rsidR="0083480D">
        <w:rPr>
          <w:rFonts w:ascii="Baskerville Old Face" w:hAnsi="Baskerville Old Face"/>
        </w:rPr>
        <w:t>by amendments, rather than found in them literally. For instance, it cites the precedent in the case, NAACP v. Alabama where “we protected the ‘freedom to associate and privacy in one’s associations,’ noting that freedom of association was a peripheral First Amendment right” (lines 19-20).  Then, the court demonstrates that the 3</w:t>
      </w:r>
      <w:r w:rsidR="0083480D" w:rsidRPr="0083480D">
        <w:rPr>
          <w:rFonts w:ascii="Baskerville Old Face" w:hAnsi="Baskerville Old Face"/>
          <w:vertAlign w:val="superscript"/>
        </w:rPr>
        <w:t>rd</w:t>
      </w:r>
      <w:r w:rsidR="0083480D">
        <w:rPr>
          <w:rFonts w:ascii="Baskerville Old Face" w:hAnsi="Baskerville Old Face"/>
        </w:rPr>
        <w:t>, 4</w:t>
      </w:r>
      <w:r w:rsidR="0083480D" w:rsidRPr="0083480D">
        <w:rPr>
          <w:rFonts w:ascii="Baskerville Old Face" w:hAnsi="Baskerville Old Face"/>
          <w:vertAlign w:val="superscript"/>
        </w:rPr>
        <w:t>th</w:t>
      </w:r>
      <w:r w:rsidR="0083480D">
        <w:rPr>
          <w:rFonts w:ascii="Baskerville Old Face" w:hAnsi="Baskerville Old Face"/>
        </w:rPr>
        <w:t>, and 5</w:t>
      </w:r>
      <w:r w:rsidR="0083480D" w:rsidRPr="0083480D">
        <w:rPr>
          <w:rFonts w:ascii="Baskerville Old Face" w:hAnsi="Baskerville Old Face"/>
          <w:vertAlign w:val="superscript"/>
        </w:rPr>
        <w:t>th</w:t>
      </w:r>
      <w:r w:rsidR="0083480D">
        <w:rPr>
          <w:rFonts w:ascii="Baskerville Old Face" w:hAnsi="Baskerville Old Face"/>
        </w:rPr>
        <w:t xml:space="preserve"> Amendments have elements of privacy in protecting a) people’s homes in times of peace from quartering soldiers (line 33), b) against unreasonable search and seizures (lines 35-36), and c) against self-incrimination.  Finally, the Court uses the text of the 9</w:t>
      </w:r>
      <w:r w:rsidR="0083480D" w:rsidRPr="0083480D">
        <w:rPr>
          <w:rFonts w:ascii="Baskerville Old Face" w:hAnsi="Baskerville Old Face"/>
          <w:vertAlign w:val="superscript"/>
        </w:rPr>
        <w:t>th</w:t>
      </w:r>
      <w:r w:rsidR="0083480D">
        <w:rPr>
          <w:rFonts w:ascii="Baskerville Old Face" w:hAnsi="Baskerville Old Face"/>
        </w:rPr>
        <w:t xml:space="preserve"> Amendment to vindicate their finding of a penumbra of privacy, as the 9</w:t>
      </w:r>
      <w:r w:rsidR="0083480D" w:rsidRPr="0083480D">
        <w:rPr>
          <w:rFonts w:ascii="Baskerville Old Face" w:hAnsi="Baskerville Old Face"/>
          <w:vertAlign w:val="superscript"/>
        </w:rPr>
        <w:t>th</w:t>
      </w:r>
      <w:r w:rsidR="0083480D">
        <w:rPr>
          <w:rFonts w:ascii="Baskerville Old Face" w:hAnsi="Baskerville Old Face"/>
        </w:rPr>
        <w:t xml:space="preserve"> Amendment states, “The enumeration in the Constitution, of certain rights, shall not be construed to deny or disparage others retained by the people” (lines 38-40).</w:t>
      </w:r>
    </w:p>
    <w:p w14:paraId="33CC0122" w14:textId="77777777" w:rsidR="005F0549" w:rsidRDefault="00120398" w:rsidP="002B5A1D">
      <w:pPr>
        <w:suppressLineNumbers/>
        <w:rPr>
          <w:rFonts w:ascii="Baskerville Old Face" w:hAnsi="Baskerville Old Face"/>
        </w:rPr>
      </w:pPr>
      <w:r>
        <w:rPr>
          <w:rFonts w:ascii="Baskerville Old Face" w:hAnsi="Baskerville Old Face"/>
          <w:i/>
        </w:rPr>
        <w:t xml:space="preserve">(Teacher Note: </w:t>
      </w:r>
      <w:r w:rsidR="00843A47">
        <w:rPr>
          <w:rFonts w:ascii="Baskerville Old Face" w:hAnsi="Baskerville Old Face"/>
          <w:i/>
        </w:rPr>
        <w:t>The extension writing task that follows is</w:t>
      </w:r>
      <w:r>
        <w:rPr>
          <w:rFonts w:ascii="Baskerville Old Face" w:hAnsi="Baskerville Old Face"/>
          <w:i/>
        </w:rPr>
        <w:t xml:space="preserve"> a longer research project, which would allow students to follow case law over time and see the ways in which precedence is used by the courts. It would highlight important Supreme Court case law (e.g. Roe v. Wade</w:t>
      </w:r>
      <w:r w:rsidR="002C4DC5">
        <w:rPr>
          <w:rFonts w:ascii="Baskerville Old Face" w:hAnsi="Baskerville Old Face"/>
          <w:i/>
        </w:rPr>
        <w:t>, Lawrence v. Texas) as well as the strategies necessary for research and informational writing.  Further guidance and support would be necessary for this portion.</w:t>
      </w:r>
      <w:r w:rsidR="006B5FA1">
        <w:rPr>
          <w:rFonts w:ascii="Baskerville Old Face" w:hAnsi="Baskerville Old Face"/>
          <w:i/>
        </w:rPr>
        <w:t xml:space="preserve"> Teachers should employ this option only if they are familiar with this case law and will reference it in later teaching and learning.</w:t>
      </w:r>
      <w:r w:rsidR="002C4DC5">
        <w:rPr>
          <w:rFonts w:ascii="Baskerville Old Face" w:hAnsi="Baskerville Old Face"/>
          <w:i/>
        </w:rPr>
        <w:t>)</w:t>
      </w:r>
    </w:p>
    <w:p w14:paraId="3454576F" w14:textId="77777777" w:rsidR="005F0549" w:rsidRPr="005F0549" w:rsidRDefault="005F0549" w:rsidP="002B5A1D">
      <w:pPr>
        <w:suppressLineNumbers/>
        <w:rPr>
          <w:rFonts w:ascii="Baskerville Old Face" w:hAnsi="Baskerville Old Face"/>
        </w:rPr>
      </w:pPr>
    </w:p>
    <w:p w14:paraId="22AB0E40" w14:textId="77777777" w:rsidR="002C4DC5" w:rsidRPr="002C4DC5" w:rsidRDefault="00843A47" w:rsidP="002B5A1D">
      <w:pPr>
        <w:suppressLineNumbers/>
        <w:rPr>
          <w:rFonts w:ascii="Baskerville Old Face" w:hAnsi="Baskerville Old Face"/>
          <w:b/>
        </w:rPr>
      </w:pPr>
      <w:r>
        <w:rPr>
          <w:rFonts w:ascii="Baskerville Old Face" w:hAnsi="Baskerville Old Face"/>
          <w:b/>
        </w:rPr>
        <w:t>Extension Writing</w:t>
      </w:r>
      <w:r w:rsidR="002C4DC5" w:rsidRPr="002C4DC5">
        <w:rPr>
          <w:rFonts w:ascii="Baskerville Old Face" w:hAnsi="Baskerville Old Face"/>
          <w:b/>
        </w:rPr>
        <w:t>:</w:t>
      </w:r>
    </w:p>
    <w:p w14:paraId="174E6752" w14:textId="77777777" w:rsidR="00665DB9" w:rsidRDefault="009D0799" w:rsidP="002B5A1D">
      <w:pPr>
        <w:suppressLineNumbers/>
        <w:rPr>
          <w:rFonts w:ascii="Baskerville Old Face" w:hAnsi="Baskerville Old Face"/>
        </w:rPr>
      </w:pPr>
      <w:r>
        <w:rPr>
          <w:rFonts w:ascii="Baskerville Old Face" w:hAnsi="Baskerville Old Face"/>
        </w:rPr>
        <w:t>Conduct a short research project to gather</w:t>
      </w:r>
      <w:r w:rsidR="0060593E">
        <w:rPr>
          <w:rFonts w:ascii="Baskerville Old Face" w:hAnsi="Baskerville Old Face"/>
        </w:rPr>
        <w:t xml:space="preserve"> sufficient</w:t>
      </w:r>
      <w:r>
        <w:rPr>
          <w:rFonts w:ascii="Baskerville Old Face" w:hAnsi="Baskerville Old Face"/>
        </w:rPr>
        <w:t xml:space="preserve"> evidence to answer the following question</w:t>
      </w:r>
      <w:r w:rsidR="00665DB9">
        <w:rPr>
          <w:rFonts w:ascii="Baskerville Old Face" w:hAnsi="Baskerville Old Face"/>
        </w:rPr>
        <w:t>s. Use appropriate sources that are both credible and accurate.</w:t>
      </w:r>
      <w:r w:rsidR="006B190A">
        <w:rPr>
          <w:rFonts w:ascii="Baskerville Old Face" w:hAnsi="Baskerville Old Face"/>
        </w:rPr>
        <w:t xml:space="preserve">  </w:t>
      </w:r>
      <w:r w:rsidR="0060593E">
        <w:rPr>
          <w:rFonts w:ascii="Baskerville Old Face" w:hAnsi="Baskerville Old Face"/>
        </w:rPr>
        <w:t>Detail between three and four cases in your project.</w:t>
      </w:r>
    </w:p>
    <w:p w14:paraId="35DE85DD" w14:textId="77777777" w:rsidR="002B5A1D" w:rsidRPr="002C4DC5" w:rsidRDefault="009D0799" w:rsidP="002B5A1D">
      <w:pPr>
        <w:suppressLineNumbers/>
        <w:rPr>
          <w:rFonts w:ascii="Baskerville Old Face" w:hAnsi="Baskerville Old Face"/>
          <w:b/>
          <w:i/>
        </w:rPr>
      </w:pPr>
      <w:r w:rsidRPr="002C4DC5">
        <w:rPr>
          <w:rFonts w:ascii="Baskerville Old Face" w:hAnsi="Baskerville Old Face"/>
          <w:b/>
          <w:i/>
        </w:rPr>
        <w:t>How has the right to privacy established in Griswold v. Connecticut affected later Supreme Court jurisp</w:t>
      </w:r>
      <w:r w:rsidR="00D2186B" w:rsidRPr="002C4DC5">
        <w:rPr>
          <w:rFonts w:ascii="Baskerville Old Face" w:hAnsi="Baskerville Old Face"/>
          <w:b/>
          <w:i/>
        </w:rPr>
        <w:t xml:space="preserve">rudence? For what future cases </w:t>
      </w:r>
      <w:r w:rsidRPr="002C4DC5">
        <w:rPr>
          <w:rFonts w:ascii="Baskerville Old Face" w:hAnsi="Baskerville Old Face"/>
          <w:b/>
          <w:i/>
        </w:rPr>
        <w:t xml:space="preserve">was </w:t>
      </w:r>
      <w:r w:rsidR="00BB3FDD" w:rsidRPr="002C4DC5">
        <w:rPr>
          <w:rFonts w:ascii="Baskerville Old Face" w:hAnsi="Baskerville Old Face"/>
          <w:b/>
          <w:i/>
        </w:rPr>
        <w:t>this</w:t>
      </w:r>
      <w:r w:rsidRPr="002C4DC5">
        <w:rPr>
          <w:rFonts w:ascii="Baskerville Old Face" w:hAnsi="Baskerville Old Face"/>
          <w:b/>
          <w:i/>
        </w:rPr>
        <w:t xml:space="preserve"> </w:t>
      </w:r>
      <w:r w:rsidR="00BB3FDD" w:rsidRPr="002C4DC5">
        <w:rPr>
          <w:rFonts w:ascii="Baskerville Old Face" w:hAnsi="Baskerville Old Face"/>
          <w:b/>
          <w:i/>
        </w:rPr>
        <w:t xml:space="preserve">case a </w:t>
      </w:r>
      <w:r w:rsidRPr="002C4DC5">
        <w:rPr>
          <w:rFonts w:ascii="Baskerville Old Face" w:hAnsi="Baskerville Old Face"/>
          <w:b/>
          <w:i/>
        </w:rPr>
        <w:t xml:space="preserve">major precedent? How has the controversy over the penumbra of privacy played out in Supreme Court case law since 1970? </w:t>
      </w:r>
    </w:p>
    <w:p w14:paraId="34C2374B" w14:textId="77777777" w:rsidR="002B5A1D" w:rsidRDefault="002B5A1D" w:rsidP="002B5A1D">
      <w:pPr>
        <w:suppressLineNumbers/>
        <w:rPr>
          <w:rFonts w:ascii="Baskerville Old Face" w:hAnsi="Baskerville Old Face"/>
        </w:rPr>
      </w:pPr>
    </w:p>
    <w:p w14:paraId="19D00114" w14:textId="77777777" w:rsidR="002B5A1D" w:rsidRDefault="005F0549" w:rsidP="002B5A1D">
      <w:pPr>
        <w:suppressLineNumbers/>
        <w:rPr>
          <w:rFonts w:ascii="Baskerville Old Face" w:hAnsi="Baskerville Old Face"/>
          <w:i/>
        </w:rPr>
      </w:pPr>
      <w:r w:rsidRPr="005F0549">
        <w:rPr>
          <w:rFonts w:ascii="Baskerville Old Face" w:hAnsi="Baskerville Old Face"/>
          <w:b/>
        </w:rPr>
        <w:t>Extension Writing</w:t>
      </w:r>
      <w:r w:rsidR="0060593E" w:rsidRPr="005F0549">
        <w:rPr>
          <w:rFonts w:ascii="Baskerville Old Face" w:hAnsi="Baskerville Old Face"/>
          <w:b/>
        </w:rPr>
        <w:t xml:space="preserve"> Checklist:</w:t>
      </w:r>
      <w:r w:rsidR="0060593E">
        <w:rPr>
          <w:rFonts w:ascii="Baskerville Old Face" w:hAnsi="Baskerville Old Face"/>
        </w:rPr>
        <w:t xml:space="preserve"> </w:t>
      </w:r>
      <w:r w:rsidR="0060593E">
        <w:rPr>
          <w:rFonts w:ascii="Baskerville Old Face" w:hAnsi="Baskerville Old Face"/>
          <w:i/>
        </w:rPr>
        <w:t>Please refer to this checklist as you develop your short research proj</w:t>
      </w:r>
      <w:r w:rsidR="009C19FF">
        <w:rPr>
          <w:rFonts w:ascii="Baskerville Old Face" w:hAnsi="Baskerville Old Face"/>
          <w:i/>
        </w:rPr>
        <w:t xml:space="preserve">ect.  </w:t>
      </w:r>
    </w:p>
    <w:p w14:paraId="5BC62505" w14:textId="77777777" w:rsidR="009C19FF" w:rsidRDefault="009C19FF" w:rsidP="009C19FF">
      <w:pPr>
        <w:pStyle w:val="ListParagraph"/>
        <w:numPr>
          <w:ilvl w:val="0"/>
          <w:numId w:val="6"/>
        </w:numPr>
        <w:suppressLineNumbers/>
        <w:rPr>
          <w:rFonts w:ascii="Baskerville Old Face" w:hAnsi="Baskerville Old Face"/>
        </w:rPr>
      </w:pPr>
      <w:r>
        <w:rPr>
          <w:rFonts w:ascii="Baskerville Old Face" w:hAnsi="Baskerville Old Face"/>
        </w:rPr>
        <w:t>Introduce the project with a paragraph that explains the decision in Griswold and emphasizes the discussion of the penumbra of privacy.</w:t>
      </w:r>
    </w:p>
    <w:p w14:paraId="5B8718F7" w14:textId="77777777" w:rsidR="009C19FF" w:rsidRDefault="009C19FF" w:rsidP="009C19FF">
      <w:pPr>
        <w:pStyle w:val="ListParagraph"/>
        <w:numPr>
          <w:ilvl w:val="0"/>
          <w:numId w:val="6"/>
        </w:numPr>
        <w:suppressLineNumbers/>
        <w:rPr>
          <w:rFonts w:ascii="Baskerville Old Face" w:hAnsi="Baskerville Old Face"/>
        </w:rPr>
      </w:pPr>
      <w:r>
        <w:rPr>
          <w:rFonts w:ascii="Baskerville Old Face" w:hAnsi="Baskerville Old Face"/>
        </w:rPr>
        <w:t xml:space="preserve">Identify </w:t>
      </w:r>
      <w:r w:rsidR="00120398">
        <w:rPr>
          <w:rFonts w:ascii="Baskerville Old Face" w:hAnsi="Baskerville Old Face"/>
        </w:rPr>
        <w:t>two to three</w:t>
      </w:r>
      <w:r>
        <w:rPr>
          <w:rFonts w:ascii="Baskerville Old Face" w:hAnsi="Baskerville Old Face"/>
        </w:rPr>
        <w:t xml:space="preserve"> cases that use Griswold as a precedent for privacy (from 1970 to present).  For each case:</w:t>
      </w:r>
    </w:p>
    <w:p w14:paraId="68D5A800" w14:textId="77777777" w:rsidR="009C19FF" w:rsidRDefault="009C19FF" w:rsidP="009C19FF">
      <w:pPr>
        <w:pStyle w:val="ListParagraph"/>
        <w:numPr>
          <w:ilvl w:val="1"/>
          <w:numId w:val="6"/>
        </w:numPr>
        <w:suppressLineNumbers/>
        <w:rPr>
          <w:rFonts w:ascii="Baskerville Old Face" w:hAnsi="Baskerville Old Face"/>
        </w:rPr>
      </w:pPr>
      <w:r>
        <w:rPr>
          <w:rFonts w:ascii="Baskerville Old Face" w:hAnsi="Baskerville Old Face"/>
        </w:rPr>
        <w:t>Briefly describe the Constitutional question and main details of the case.</w:t>
      </w:r>
    </w:p>
    <w:p w14:paraId="679AF3E5" w14:textId="77777777" w:rsidR="009C19FF" w:rsidRDefault="009C19FF" w:rsidP="009C19FF">
      <w:pPr>
        <w:pStyle w:val="ListParagraph"/>
        <w:numPr>
          <w:ilvl w:val="1"/>
          <w:numId w:val="6"/>
        </w:numPr>
        <w:suppressLineNumbers/>
        <w:rPr>
          <w:rFonts w:ascii="Baskerville Old Face" w:hAnsi="Baskerville Old Face"/>
        </w:rPr>
      </w:pPr>
      <w:r>
        <w:rPr>
          <w:rFonts w:ascii="Baskerville Old Face" w:hAnsi="Baskerville Old Face"/>
        </w:rPr>
        <w:t>Describe how Griswold was used as precedent in the decision (or dissent/concurrence).</w:t>
      </w:r>
    </w:p>
    <w:p w14:paraId="3E8B879C" w14:textId="77777777" w:rsidR="009C19FF" w:rsidRDefault="009C19FF" w:rsidP="009C19FF">
      <w:pPr>
        <w:pStyle w:val="ListParagraph"/>
        <w:numPr>
          <w:ilvl w:val="1"/>
          <w:numId w:val="6"/>
        </w:numPr>
        <w:suppressLineNumbers/>
        <w:rPr>
          <w:rFonts w:ascii="Baskerville Old Face" w:hAnsi="Baskerville Old Face"/>
        </w:rPr>
      </w:pPr>
      <w:r>
        <w:rPr>
          <w:rFonts w:ascii="Baskerville Old Face" w:hAnsi="Baskerville Old Face"/>
        </w:rPr>
        <w:t>Evaluate the manner in which the precedent was used (used to support the argument, counter the argument, enlarged view of the penumbra of privacy, narrower view of the penumbra of privacy, etc.).</w:t>
      </w:r>
    </w:p>
    <w:p w14:paraId="09DE4956" w14:textId="77777777" w:rsidR="009C19FF" w:rsidRDefault="009C19FF" w:rsidP="009C19FF">
      <w:pPr>
        <w:pStyle w:val="ListParagraph"/>
        <w:numPr>
          <w:ilvl w:val="0"/>
          <w:numId w:val="6"/>
        </w:numPr>
        <w:suppressLineNumbers/>
        <w:rPr>
          <w:rFonts w:ascii="Baskerville Old Face" w:hAnsi="Baskerville Old Face"/>
        </w:rPr>
      </w:pPr>
      <w:r>
        <w:rPr>
          <w:rFonts w:ascii="Baskerville Old Face" w:hAnsi="Baskerville Old Face"/>
        </w:rPr>
        <w:t xml:space="preserve">Cite evidence (paraphrases and short quotations) to support your analysis of each case.  </w:t>
      </w:r>
    </w:p>
    <w:p w14:paraId="2FB01DAB" w14:textId="77777777" w:rsidR="009C19FF" w:rsidRDefault="009C19FF" w:rsidP="009C19FF">
      <w:pPr>
        <w:pStyle w:val="ListParagraph"/>
        <w:numPr>
          <w:ilvl w:val="1"/>
          <w:numId w:val="6"/>
        </w:numPr>
        <w:suppressLineNumbers/>
        <w:rPr>
          <w:rFonts w:ascii="Baskerville Old Face" w:hAnsi="Baskerville Old Face"/>
        </w:rPr>
      </w:pPr>
      <w:r>
        <w:rPr>
          <w:rFonts w:ascii="Baskerville Old Face" w:hAnsi="Baskerville Old Face"/>
        </w:rPr>
        <w:t>At least one piece of evidence should come from the Supreme Court Opinion</w:t>
      </w:r>
      <w:r w:rsidR="00081EBE">
        <w:rPr>
          <w:rFonts w:ascii="Baskerville Old Face" w:hAnsi="Baskerville Old Face"/>
        </w:rPr>
        <w:t>.</w:t>
      </w:r>
    </w:p>
    <w:p w14:paraId="126EF028" w14:textId="77777777" w:rsidR="00775FE4" w:rsidRPr="00775FE4" w:rsidRDefault="00081EBE" w:rsidP="00775FE4">
      <w:pPr>
        <w:pStyle w:val="ListParagraph"/>
        <w:numPr>
          <w:ilvl w:val="1"/>
          <w:numId w:val="6"/>
        </w:numPr>
        <w:suppressLineNumbers/>
        <w:rPr>
          <w:rFonts w:ascii="Baskerville Old Face" w:hAnsi="Baskerville Old Face"/>
        </w:rPr>
      </w:pPr>
      <w:r>
        <w:rPr>
          <w:rFonts w:ascii="Baskerville Old Face" w:hAnsi="Baskerville Old Face"/>
        </w:rPr>
        <w:t>Other sources used to support your argument (at least one per case) should be evaluated for credibility and cited appropriately.</w:t>
      </w:r>
    </w:p>
    <w:p w14:paraId="44FFE980" w14:textId="77777777" w:rsidR="00081EBE" w:rsidRDefault="00081EBE" w:rsidP="00081EBE">
      <w:pPr>
        <w:pStyle w:val="ListParagraph"/>
        <w:numPr>
          <w:ilvl w:val="0"/>
          <w:numId w:val="6"/>
        </w:numPr>
        <w:suppressLineNumbers/>
        <w:rPr>
          <w:rFonts w:ascii="Baskerville Old Face" w:hAnsi="Baskerville Old Face"/>
        </w:rPr>
      </w:pPr>
      <w:r>
        <w:rPr>
          <w:rFonts w:ascii="Baskerville Old Face" w:hAnsi="Baskerville Old Face"/>
        </w:rPr>
        <w:t>Reasoning is the most essential component of your analysis. Ensure that for every piece of evidence and conjecture you make, you provide details, elaboration, explanation, and make clear your thinking.</w:t>
      </w:r>
      <w:r w:rsidR="00775FE4">
        <w:rPr>
          <w:rFonts w:ascii="Baskerville Old Face" w:hAnsi="Baskerville Old Face"/>
        </w:rPr>
        <w:t xml:space="preserve">  Your reasoning will likely come from your understanding of Griswold from this close reading.</w:t>
      </w:r>
    </w:p>
    <w:p w14:paraId="28ADAB78" w14:textId="77777777" w:rsidR="00081EBE" w:rsidRDefault="00081EBE" w:rsidP="00081EBE">
      <w:pPr>
        <w:pStyle w:val="ListParagraph"/>
        <w:numPr>
          <w:ilvl w:val="0"/>
          <w:numId w:val="6"/>
        </w:numPr>
        <w:suppressLineNumbers/>
        <w:rPr>
          <w:rFonts w:ascii="Baskerville Old Face" w:hAnsi="Baskerville Old Face"/>
        </w:rPr>
      </w:pPr>
      <w:r>
        <w:rPr>
          <w:rFonts w:ascii="Baskerville Old Face" w:hAnsi="Baskerville Old Face"/>
        </w:rPr>
        <w:lastRenderedPageBreak/>
        <w:t>Conclude with your own interpretation of the final question: How has the controversy over the penumbra of privacy played out in Supreme Court case law since 1970?</w:t>
      </w:r>
    </w:p>
    <w:p w14:paraId="2997D783" w14:textId="77777777" w:rsidR="002B5A1D" w:rsidRPr="005F0549" w:rsidRDefault="00081EBE" w:rsidP="002B5A1D">
      <w:pPr>
        <w:pStyle w:val="ListParagraph"/>
        <w:numPr>
          <w:ilvl w:val="0"/>
          <w:numId w:val="6"/>
        </w:numPr>
        <w:suppressLineNumbers/>
        <w:rPr>
          <w:rFonts w:ascii="Baskerville Old Face" w:hAnsi="Baskerville Old Face"/>
        </w:rPr>
      </w:pPr>
      <w:r>
        <w:rPr>
          <w:rFonts w:ascii="Baskerville Old Face" w:hAnsi="Baskerville Old Face"/>
        </w:rPr>
        <w:t>See 4 point rubric for essential components including: purpose, focus, organization, development of language and elaboration of evidence, and proper grammar and conventions.</w:t>
      </w:r>
    </w:p>
    <w:p w14:paraId="413389EB" w14:textId="77777777" w:rsidR="00064F5E" w:rsidRPr="00D2186B" w:rsidRDefault="0060593E" w:rsidP="00D2186B">
      <w:pPr>
        <w:suppressLineNumbers/>
        <w:rPr>
          <w:rFonts w:ascii="Times New Roman" w:eastAsia="Times New Roman" w:hAnsi="Times New Roman" w:cs="Times New Roman"/>
          <w:sz w:val="23"/>
          <w:szCs w:val="23"/>
        </w:rPr>
      </w:pPr>
      <w:r>
        <w:rPr>
          <w:rFonts w:ascii="Times New Roman" w:eastAsia="Times New Roman" w:hAnsi="Times New Roman" w:cs="Times New Roman"/>
          <w:noProof/>
          <w:sz w:val="23"/>
          <w:szCs w:val="23"/>
        </w:rPr>
        <w:lastRenderedPageBreak/>
        <w:drawing>
          <wp:inline distT="0" distB="0" distL="0" distR="0" wp14:anchorId="6B322F3E" wp14:editId="7F4B5F98">
            <wp:extent cx="8686800" cy="6339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0A141.tmp"/>
                    <pic:cNvPicPr/>
                  </pic:nvPicPr>
                  <pic:blipFill>
                    <a:blip r:embed="rId25">
                      <a:extLst>
                        <a:ext uri="{28A0092B-C50C-407E-A947-70E740481C1C}">
                          <a14:useLocalDpi xmlns:a14="http://schemas.microsoft.com/office/drawing/2010/main" val="0"/>
                        </a:ext>
                      </a:extLst>
                    </a:blip>
                    <a:stretch>
                      <a:fillRect/>
                    </a:stretch>
                  </pic:blipFill>
                  <pic:spPr>
                    <a:xfrm>
                      <a:off x="0" y="0"/>
                      <a:ext cx="8686800" cy="6339840"/>
                    </a:xfrm>
                    <a:prstGeom prst="rect">
                      <a:avLst/>
                    </a:prstGeom>
                  </pic:spPr>
                </pic:pic>
              </a:graphicData>
            </a:graphic>
          </wp:inline>
        </w:drawing>
      </w:r>
    </w:p>
    <w:sectPr w:rsidR="00064F5E" w:rsidRPr="00D2186B" w:rsidSect="001F4C20">
      <w:pgSz w:w="15840" w:h="12240" w:orient="landscape"/>
      <w:pgMar w:top="1080" w:right="1080" w:bottom="90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C59AE" w14:textId="77777777" w:rsidR="00732D9A" w:rsidRDefault="00732D9A" w:rsidP="008F246B">
      <w:pPr>
        <w:spacing w:after="0" w:line="240" w:lineRule="auto"/>
      </w:pPr>
      <w:r>
        <w:separator/>
      </w:r>
    </w:p>
  </w:endnote>
  <w:endnote w:type="continuationSeparator" w:id="0">
    <w:p w14:paraId="0C00DA64" w14:textId="77777777" w:rsidR="00732D9A" w:rsidRDefault="00732D9A" w:rsidP="008F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EB4C" w14:textId="77777777" w:rsidR="00732D9A" w:rsidRDefault="00732D9A" w:rsidP="008F246B">
      <w:pPr>
        <w:spacing w:after="0" w:line="240" w:lineRule="auto"/>
      </w:pPr>
      <w:r>
        <w:separator/>
      </w:r>
    </w:p>
  </w:footnote>
  <w:footnote w:type="continuationSeparator" w:id="0">
    <w:p w14:paraId="444E7D46" w14:textId="77777777" w:rsidR="00732D9A" w:rsidRDefault="00732D9A" w:rsidP="008F2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BC"/>
    <w:multiLevelType w:val="hybridMultilevel"/>
    <w:tmpl w:val="EA74F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19065C"/>
    <w:multiLevelType w:val="hybridMultilevel"/>
    <w:tmpl w:val="3C7CEA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4321D"/>
    <w:multiLevelType w:val="hybridMultilevel"/>
    <w:tmpl w:val="812E5F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B27FF3"/>
    <w:multiLevelType w:val="hybridMultilevel"/>
    <w:tmpl w:val="D4B00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3C38A6"/>
    <w:multiLevelType w:val="hybridMultilevel"/>
    <w:tmpl w:val="0680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F7D8D"/>
    <w:multiLevelType w:val="hybridMultilevel"/>
    <w:tmpl w:val="DDA6E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CB7BE8"/>
    <w:multiLevelType w:val="hybridMultilevel"/>
    <w:tmpl w:val="AE60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4080B"/>
    <w:multiLevelType w:val="hybridMultilevel"/>
    <w:tmpl w:val="9A4CB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r, Angela">
    <w15:presenceInfo w15:providerId="AD" w15:userId="S-1-5-21-3031243810-1567314905-2332474600-91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6A"/>
    <w:rsid w:val="000308FD"/>
    <w:rsid w:val="000629A0"/>
    <w:rsid w:val="00064F5E"/>
    <w:rsid w:val="00070878"/>
    <w:rsid w:val="00081EBE"/>
    <w:rsid w:val="00097E74"/>
    <w:rsid w:val="000E71AC"/>
    <w:rsid w:val="00120398"/>
    <w:rsid w:val="00131DA6"/>
    <w:rsid w:val="001A6C8A"/>
    <w:rsid w:val="001C40FB"/>
    <w:rsid w:val="001C63FF"/>
    <w:rsid w:val="001F3379"/>
    <w:rsid w:val="001F4C20"/>
    <w:rsid w:val="001F6254"/>
    <w:rsid w:val="00207D78"/>
    <w:rsid w:val="002133C0"/>
    <w:rsid w:val="002444C8"/>
    <w:rsid w:val="002673D6"/>
    <w:rsid w:val="00270662"/>
    <w:rsid w:val="00287926"/>
    <w:rsid w:val="002924ED"/>
    <w:rsid w:val="002B5A1D"/>
    <w:rsid w:val="002C10F7"/>
    <w:rsid w:val="002C3816"/>
    <w:rsid w:val="002C4DC5"/>
    <w:rsid w:val="002D63DE"/>
    <w:rsid w:val="00321E44"/>
    <w:rsid w:val="00335F92"/>
    <w:rsid w:val="00373316"/>
    <w:rsid w:val="003F5AD4"/>
    <w:rsid w:val="00427E0B"/>
    <w:rsid w:val="00447A02"/>
    <w:rsid w:val="004605C8"/>
    <w:rsid w:val="004A3505"/>
    <w:rsid w:val="004D1E60"/>
    <w:rsid w:val="004E1077"/>
    <w:rsid w:val="00503126"/>
    <w:rsid w:val="00562E8B"/>
    <w:rsid w:val="00574BAB"/>
    <w:rsid w:val="005A496A"/>
    <w:rsid w:val="005F0549"/>
    <w:rsid w:val="0060593E"/>
    <w:rsid w:val="00630D88"/>
    <w:rsid w:val="0064495F"/>
    <w:rsid w:val="00665DB9"/>
    <w:rsid w:val="006B190A"/>
    <w:rsid w:val="006B2A05"/>
    <w:rsid w:val="006B5FA1"/>
    <w:rsid w:val="006C6D3D"/>
    <w:rsid w:val="006D5449"/>
    <w:rsid w:val="007134E4"/>
    <w:rsid w:val="00732D9A"/>
    <w:rsid w:val="007369E4"/>
    <w:rsid w:val="00760CD1"/>
    <w:rsid w:val="00775FE4"/>
    <w:rsid w:val="007902E9"/>
    <w:rsid w:val="007E29A6"/>
    <w:rsid w:val="00811955"/>
    <w:rsid w:val="0083480D"/>
    <w:rsid w:val="00842A65"/>
    <w:rsid w:val="00843A47"/>
    <w:rsid w:val="00857F48"/>
    <w:rsid w:val="0088072E"/>
    <w:rsid w:val="00886494"/>
    <w:rsid w:val="008A7595"/>
    <w:rsid w:val="008B624D"/>
    <w:rsid w:val="008D6D38"/>
    <w:rsid w:val="008E4462"/>
    <w:rsid w:val="008E6A6A"/>
    <w:rsid w:val="008F246B"/>
    <w:rsid w:val="00953DB2"/>
    <w:rsid w:val="00987C5F"/>
    <w:rsid w:val="009B5A7C"/>
    <w:rsid w:val="009C19FF"/>
    <w:rsid w:val="009D0799"/>
    <w:rsid w:val="009F43EA"/>
    <w:rsid w:val="00A12577"/>
    <w:rsid w:val="00A40299"/>
    <w:rsid w:val="00A47CB9"/>
    <w:rsid w:val="00A56B3E"/>
    <w:rsid w:val="00B81173"/>
    <w:rsid w:val="00B9357B"/>
    <w:rsid w:val="00B93657"/>
    <w:rsid w:val="00B9379D"/>
    <w:rsid w:val="00B93A61"/>
    <w:rsid w:val="00BA3EEC"/>
    <w:rsid w:val="00BA668D"/>
    <w:rsid w:val="00BB00CE"/>
    <w:rsid w:val="00BB3FDD"/>
    <w:rsid w:val="00BB689B"/>
    <w:rsid w:val="00BC6090"/>
    <w:rsid w:val="00C04A6B"/>
    <w:rsid w:val="00CC2B1B"/>
    <w:rsid w:val="00CD79D3"/>
    <w:rsid w:val="00CF2580"/>
    <w:rsid w:val="00D04F8F"/>
    <w:rsid w:val="00D11D11"/>
    <w:rsid w:val="00D14A23"/>
    <w:rsid w:val="00D2186B"/>
    <w:rsid w:val="00D51301"/>
    <w:rsid w:val="00D7482F"/>
    <w:rsid w:val="00E61D50"/>
    <w:rsid w:val="00ED1B6F"/>
    <w:rsid w:val="00EF619F"/>
    <w:rsid w:val="00F64162"/>
    <w:rsid w:val="00F91B2B"/>
    <w:rsid w:val="00F978F6"/>
    <w:rsid w:val="00FE1D14"/>
    <w:rsid w:val="00FF5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paragraph" w:customStyle="1" w:styleId="bodytext1">
    <w:name w:val="bodytext1"/>
    <w:basedOn w:val="Normal"/>
    <w:rsid w:val="00CF2580"/>
    <w:pPr>
      <w:spacing w:before="100" w:beforeAutospacing="1" w:after="100" w:afterAutospacing="1" w:line="240" w:lineRule="auto"/>
      <w:ind w:left="1224" w:right="1224"/>
    </w:pPr>
    <w:rPr>
      <w:rFonts w:ascii="Trebuchet MS" w:eastAsia="Times New Roman" w:hAnsi="Trebuchet MS" w:cs="Times New Roman"/>
      <w:sz w:val="21"/>
      <w:szCs w:val="21"/>
    </w:rPr>
  </w:style>
  <w:style w:type="table" w:styleId="TableGrid">
    <w:name w:val="Table Grid"/>
    <w:basedOn w:val="TableNormal"/>
    <w:uiPriority w:val="59"/>
    <w:rsid w:val="002B5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926"/>
    <w:pPr>
      <w:ind w:left="720"/>
      <w:contextualSpacing/>
    </w:pPr>
  </w:style>
  <w:style w:type="character" w:styleId="Hyperlink">
    <w:name w:val="Hyperlink"/>
    <w:basedOn w:val="DefaultParagraphFont"/>
    <w:uiPriority w:val="99"/>
    <w:unhideWhenUsed/>
    <w:rsid w:val="008F246B"/>
    <w:rPr>
      <w:color w:val="0000FF" w:themeColor="hyperlink"/>
      <w:u w:val="single"/>
    </w:rPr>
  </w:style>
  <w:style w:type="paragraph" w:styleId="EndnoteText">
    <w:name w:val="endnote text"/>
    <w:basedOn w:val="Normal"/>
    <w:link w:val="EndnoteTextChar"/>
    <w:uiPriority w:val="99"/>
    <w:semiHidden/>
    <w:unhideWhenUsed/>
    <w:rsid w:val="008F2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46B"/>
    <w:rPr>
      <w:sz w:val="20"/>
      <w:szCs w:val="20"/>
    </w:rPr>
  </w:style>
  <w:style w:type="paragraph" w:styleId="FootnoteText">
    <w:name w:val="footnote text"/>
    <w:basedOn w:val="Normal"/>
    <w:link w:val="FootnoteTextChar"/>
    <w:uiPriority w:val="99"/>
    <w:semiHidden/>
    <w:unhideWhenUsed/>
    <w:rsid w:val="008F24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46B"/>
    <w:rPr>
      <w:sz w:val="20"/>
      <w:szCs w:val="20"/>
    </w:rPr>
  </w:style>
  <w:style w:type="character" w:styleId="FootnoteReference">
    <w:name w:val="footnote reference"/>
    <w:basedOn w:val="DefaultParagraphFont"/>
    <w:uiPriority w:val="99"/>
    <w:semiHidden/>
    <w:unhideWhenUsed/>
    <w:rsid w:val="008F246B"/>
    <w:rPr>
      <w:vertAlign w:val="superscript"/>
    </w:rPr>
  </w:style>
  <w:style w:type="character" w:styleId="CommentReference">
    <w:name w:val="annotation reference"/>
    <w:basedOn w:val="DefaultParagraphFont"/>
    <w:uiPriority w:val="99"/>
    <w:semiHidden/>
    <w:unhideWhenUsed/>
    <w:rsid w:val="007134E4"/>
    <w:rPr>
      <w:sz w:val="18"/>
      <w:szCs w:val="18"/>
    </w:rPr>
  </w:style>
  <w:style w:type="paragraph" w:styleId="CommentText">
    <w:name w:val="annotation text"/>
    <w:basedOn w:val="Normal"/>
    <w:link w:val="CommentTextChar"/>
    <w:uiPriority w:val="99"/>
    <w:semiHidden/>
    <w:unhideWhenUsed/>
    <w:rsid w:val="007134E4"/>
    <w:pPr>
      <w:spacing w:line="240" w:lineRule="auto"/>
    </w:pPr>
    <w:rPr>
      <w:sz w:val="24"/>
      <w:szCs w:val="24"/>
    </w:rPr>
  </w:style>
  <w:style w:type="character" w:customStyle="1" w:styleId="CommentTextChar">
    <w:name w:val="Comment Text Char"/>
    <w:basedOn w:val="DefaultParagraphFont"/>
    <w:link w:val="CommentText"/>
    <w:uiPriority w:val="99"/>
    <w:semiHidden/>
    <w:rsid w:val="007134E4"/>
    <w:rPr>
      <w:sz w:val="24"/>
      <w:szCs w:val="24"/>
    </w:rPr>
  </w:style>
  <w:style w:type="paragraph" w:styleId="CommentSubject">
    <w:name w:val="annotation subject"/>
    <w:basedOn w:val="CommentText"/>
    <w:next w:val="CommentText"/>
    <w:link w:val="CommentSubjectChar"/>
    <w:uiPriority w:val="99"/>
    <w:semiHidden/>
    <w:unhideWhenUsed/>
    <w:rsid w:val="007134E4"/>
    <w:rPr>
      <w:b/>
      <w:bCs/>
      <w:sz w:val="20"/>
      <w:szCs w:val="20"/>
    </w:rPr>
  </w:style>
  <w:style w:type="character" w:customStyle="1" w:styleId="CommentSubjectChar">
    <w:name w:val="Comment Subject Char"/>
    <w:basedOn w:val="CommentTextChar"/>
    <w:link w:val="CommentSubject"/>
    <w:uiPriority w:val="99"/>
    <w:semiHidden/>
    <w:rsid w:val="007134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paragraph" w:customStyle="1" w:styleId="bodytext1">
    <w:name w:val="bodytext1"/>
    <w:basedOn w:val="Normal"/>
    <w:rsid w:val="00CF2580"/>
    <w:pPr>
      <w:spacing w:before="100" w:beforeAutospacing="1" w:after="100" w:afterAutospacing="1" w:line="240" w:lineRule="auto"/>
      <w:ind w:left="1224" w:right="1224"/>
    </w:pPr>
    <w:rPr>
      <w:rFonts w:ascii="Trebuchet MS" w:eastAsia="Times New Roman" w:hAnsi="Trebuchet MS" w:cs="Times New Roman"/>
      <w:sz w:val="21"/>
      <w:szCs w:val="21"/>
    </w:rPr>
  </w:style>
  <w:style w:type="table" w:styleId="TableGrid">
    <w:name w:val="Table Grid"/>
    <w:basedOn w:val="TableNormal"/>
    <w:uiPriority w:val="59"/>
    <w:rsid w:val="002B5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926"/>
    <w:pPr>
      <w:ind w:left="720"/>
      <w:contextualSpacing/>
    </w:pPr>
  </w:style>
  <w:style w:type="character" w:styleId="Hyperlink">
    <w:name w:val="Hyperlink"/>
    <w:basedOn w:val="DefaultParagraphFont"/>
    <w:uiPriority w:val="99"/>
    <w:unhideWhenUsed/>
    <w:rsid w:val="008F246B"/>
    <w:rPr>
      <w:color w:val="0000FF" w:themeColor="hyperlink"/>
      <w:u w:val="single"/>
    </w:rPr>
  </w:style>
  <w:style w:type="paragraph" w:styleId="EndnoteText">
    <w:name w:val="endnote text"/>
    <w:basedOn w:val="Normal"/>
    <w:link w:val="EndnoteTextChar"/>
    <w:uiPriority w:val="99"/>
    <w:semiHidden/>
    <w:unhideWhenUsed/>
    <w:rsid w:val="008F2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46B"/>
    <w:rPr>
      <w:sz w:val="20"/>
      <w:szCs w:val="20"/>
    </w:rPr>
  </w:style>
  <w:style w:type="paragraph" w:styleId="FootnoteText">
    <w:name w:val="footnote text"/>
    <w:basedOn w:val="Normal"/>
    <w:link w:val="FootnoteTextChar"/>
    <w:uiPriority w:val="99"/>
    <w:semiHidden/>
    <w:unhideWhenUsed/>
    <w:rsid w:val="008F24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46B"/>
    <w:rPr>
      <w:sz w:val="20"/>
      <w:szCs w:val="20"/>
    </w:rPr>
  </w:style>
  <w:style w:type="character" w:styleId="FootnoteReference">
    <w:name w:val="footnote reference"/>
    <w:basedOn w:val="DefaultParagraphFont"/>
    <w:uiPriority w:val="99"/>
    <w:semiHidden/>
    <w:unhideWhenUsed/>
    <w:rsid w:val="008F246B"/>
    <w:rPr>
      <w:vertAlign w:val="superscript"/>
    </w:rPr>
  </w:style>
  <w:style w:type="character" w:styleId="CommentReference">
    <w:name w:val="annotation reference"/>
    <w:basedOn w:val="DefaultParagraphFont"/>
    <w:uiPriority w:val="99"/>
    <w:semiHidden/>
    <w:unhideWhenUsed/>
    <w:rsid w:val="007134E4"/>
    <w:rPr>
      <w:sz w:val="18"/>
      <w:szCs w:val="18"/>
    </w:rPr>
  </w:style>
  <w:style w:type="paragraph" w:styleId="CommentText">
    <w:name w:val="annotation text"/>
    <w:basedOn w:val="Normal"/>
    <w:link w:val="CommentTextChar"/>
    <w:uiPriority w:val="99"/>
    <w:semiHidden/>
    <w:unhideWhenUsed/>
    <w:rsid w:val="007134E4"/>
    <w:pPr>
      <w:spacing w:line="240" w:lineRule="auto"/>
    </w:pPr>
    <w:rPr>
      <w:sz w:val="24"/>
      <w:szCs w:val="24"/>
    </w:rPr>
  </w:style>
  <w:style w:type="character" w:customStyle="1" w:styleId="CommentTextChar">
    <w:name w:val="Comment Text Char"/>
    <w:basedOn w:val="DefaultParagraphFont"/>
    <w:link w:val="CommentText"/>
    <w:uiPriority w:val="99"/>
    <w:semiHidden/>
    <w:rsid w:val="007134E4"/>
    <w:rPr>
      <w:sz w:val="24"/>
      <w:szCs w:val="24"/>
    </w:rPr>
  </w:style>
  <w:style w:type="paragraph" w:styleId="CommentSubject">
    <w:name w:val="annotation subject"/>
    <w:basedOn w:val="CommentText"/>
    <w:next w:val="CommentText"/>
    <w:link w:val="CommentSubjectChar"/>
    <w:uiPriority w:val="99"/>
    <w:semiHidden/>
    <w:unhideWhenUsed/>
    <w:rsid w:val="007134E4"/>
    <w:rPr>
      <w:b/>
      <w:bCs/>
      <w:sz w:val="20"/>
      <w:szCs w:val="20"/>
    </w:rPr>
  </w:style>
  <w:style w:type="character" w:customStyle="1" w:styleId="CommentSubjectChar">
    <w:name w:val="Comment Subject Char"/>
    <w:basedOn w:val="CommentTextChar"/>
    <w:link w:val="CommentSubject"/>
    <w:uiPriority w:val="99"/>
    <w:semiHidden/>
    <w:rsid w:val="00713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supct-cgi/get-const?amendmenti" TargetMode="External"/><Relationship Id="rId18" Type="http://schemas.openxmlformats.org/officeDocument/2006/relationships/hyperlink" Target="http://www.law.cornell.edu/supct-cgi/get-const?amendment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w.cornell.edu/supct-cgi/get-const?amendmentix" TargetMode="External"/><Relationship Id="rId7" Type="http://schemas.openxmlformats.org/officeDocument/2006/relationships/footnotes" Target="footnotes.xml"/><Relationship Id="rId12" Type="http://schemas.openxmlformats.org/officeDocument/2006/relationships/hyperlink" Target="http://www.law.cornell.edu/supct-cgi/get-const?amendmenti" TargetMode="External"/><Relationship Id="rId17" Type="http://schemas.openxmlformats.org/officeDocument/2006/relationships/hyperlink" Target="http://www.law.cornell.edu/supct-cgi/get-const?amendmentix" TargetMode="External"/><Relationship Id="rId25" Type="http://schemas.openxmlformats.org/officeDocument/2006/relationships/image" Target="media/image1.tmp"/><Relationship Id="rId2" Type="http://schemas.openxmlformats.org/officeDocument/2006/relationships/numbering" Target="numbering.xml"/><Relationship Id="rId16" Type="http://schemas.openxmlformats.org/officeDocument/2006/relationships/hyperlink" Target="http://www.law.cornell.edu/supct-cgi/get-const?amendmentv" TargetMode="External"/><Relationship Id="rId20" Type="http://schemas.openxmlformats.org/officeDocument/2006/relationships/hyperlink" Target="http://www.law.cornell.edu/supct-cgi/get-const?amendment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supct-cgi/get-const?amendmenti" TargetMode="External"/><Relationship Id="rId24" Type="http://schemas.openxmlformats.org/officeDocument/2006/relationships/hyperlink" Target="http://www.law.cornell.edu/supct-cgi/get-const?amendmentix" TargetMode="External"/><Relationship Id="rId5" Type="http://schemas.openxmlformats.org/officeDocument/2006/relationships/settings" Target="settings.xml"/><Relationship Id="rId15" Type="http://schemas.openxmlformats.org/officeDocument/2006/relationships/hyperlink" Target="http://www.law.cornell.edu/supct-cgi/get-const?amendmentiv" TargetMode="External"/><Relationship Id="rId23" Type="http://schemas.openxmlformats.org/officeDocument/2006/relationships/hyperlink" Target="http://www.law.cornell.edu/supct-cgi/get-const?amendmentix" TargetMode="External"/><Relationship Id="rId28" Type="http://schemas.microsoft.com/office/2011/relationships/people" Target="people.xml"/><Relationship Id="rId10" Type="http://schemas.openxmlformats.org/officeDocument/2006/relationships/hyperlink" Target="http://www.law.cornell.edu/supct-cgi/get-const?amendmenti" TargetMode="External"/><Relationship Id="rId19" Type="http://schemas.openxmlformats.org/officeDocument/2006/relationships/hyperlink" Target="http://www.law.cornell.edu/supct-cgi/get-const?amendmentiv" TargetMode="External"/><Relationship Id="rId4" Type="http://schemas.microsoft.com/office/2007/relationships/stylesWithEffects" Target="stylesWithEffects.xml"/><Relationship Id="rId9" Type="http://schemas.openxmlformats.org/officeDocument/2006/relationships/hyperlink" Target="http://www.law.cornell.edu/supct-cgi/get-const?amendmenti" TargetMode="External"/><Relationship Id="rId14" Type="http://schemas.openxmlformats.org/officeDocument/2006/relationships/hyperlink" Target="http://www.law.cornell.edu/supct-cgi/get-const?amendmentiii" TargetMode="External"/><Relationship Id="rId22" Type="http://schemas.openxmlformats.org/officeDocument/2006/relationships/hyperlink" Target="http://www.law.cornell.edu/supct-cgi/get-const?amendmenti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1364-0C00-4AED-B689-E959FB96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Owner</cp:lastModifiedBy>
  <cp:revision>5</cp:revision>
  <cp:lastPrinted>2014-11-18T22:02:00Z</cp:lastPrinted>
  <dcterms:created xsi:type="dcterms:W3CDTF">2014-11-19T15:13:00Z</dcterms:created>
  <dcterms:modified xsi:type="dcterms:W3CDTF">2015-02-06T21:07:00Z</dcterms:modified>
</cp:coreProperties>
</file>